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C2120" w14:textId="023E4981" w:rsidR="0007617C" w:rsidRPr="00901AC0" w:rsidRDefault="0007617C" w:rsidP="0007617C">
      <w:pPr>
        <w:pStyle w:val="3GPPHeader"/>
        <w:spacing w:after="60"/>
        <w:rPr>
          <w:rFonts w:cs="Arial"/>
          <w:sz w:val="32"/>
          <w:szCs w:val="32"/>
          <w:lang w:val="en-US"/>
        </w:rPr>
      </w:pPr>
      <w:bookmarkStart w:id="0" w:name="_Hlk512852793"/>
      <w:r w:rsidRPr="00901AC0">
        <w:rPr>
          <w:rFonts w:cs="Arial"/>
          <w:lang w:val="en-US"/>
        </w:rPr>
        <w:t>3GPP TSG-RAN WG2 #10</w:t>
      </w:r>
      <w:r w:rsidRPr="00901AC0">
        <w:rPr>
          <w:rFonts w:cs="Arial"/>
        </w:rPr>
        <w:t>8</w:t>
      </w:r>
      <w:r w:rsidRPr="00901AC0">
        <w:rPr>
          <w:rFonts w:cs="Arial"/>
          <w:lang w:val="en-US"/>
        </w:rPr>
        <w:tab/>
      </w:r>
      <w:r w:rsidRPr="00901AC0">
        <w:rPr>
          <w:rFonts w:cs="Arial"/>
          <w:sz w:val="32"/>
          <w:szCs w:val="32"/>
          <w:lang w:val="en-US"/>
        </w:rPr>
        <w:t xml:space="preserve"> </w:t>
      </w:r>
      <w:proofErr w:type="spellStart"/>
      <w:r w:rsidRPr="00901AC0">
        <w:rPr>
          <w:rFonts w:cs="Arial"/>
          <w:sz w:val="32"/>
          <w:szCs w:val="32"/>
          <w:lang w:val="en-US"/>
        </w:rPr>
        <w:t>TDoc</w:t>
      </w:r>
      <w:proofErr w:type="spellEnd"/>
      <w:r w:rsidRPr="00901AC0">
        <w:rPr>
          <w:rFonts w:cs="Arial"/>
          <w:sz w:val="32"/>
          <w:szCs w:val="32"/>
          <w:lang w:val="en-US"/>
        </w:rPr>
        <w:t xml:space="preserve"> </w:t>
      </w:r>
      <w:r w:rsidR="00901AC0" w:rsidRPr="00901AC0">
        <w:rPr>
          <w:rFonts w:cs="Arial"/>
          <w:sz w:val="32"/>
          <w:szCs w:val="32"/>
          <w:lang w:val="en-US"/>
        </w:rPr>
        <w:t>R2-1915272</w:t>
      </w:r>
    </w:p>
    <w:bookmarkEnd w:id="0"/>
    <w:p w14:paraId="752FCDD8" w14:textId="77777777" w:rsidR="0007617C" w:rsidRPr="00901AC0" w:rsidRDefault="0007617C" w:rsidP="0007617C">
      <w:pPr>
        <w:pStyle w:val="CRCoverPage"/>
        <w:outlineLvl w:val="0"/>
        <w:rPr>
          <w:rFonts w:cs="Arial"/>
          <w:b/>
          <w:noProof/>
          <w:sz w:val="24"/>
        </w:rPr>
      </w:pPr>
      <w:r w:rsidRPr="00901AC0">
        <w:rPr>
          <w:rFonts w:cs="Arial"/>
          <w:b/>
          <w:noProof/>
          <w:sz w:val="24"/>
        </w:rPr>
        <w:t>Reno, USA, 18</w:t>
      </w:r>
      <w:r w:rsidRPr="00901AC0">
        <w:rPr>
          <w:rFonts w:cs="Arial"/>
          <w:b/>
          <w:noProof/>
          <w:sz w:val="24"/>
          <w:vertAlign w:val="superscript"/>
        </w:rPr>
        <w:t>th</w:t>
      </w:r>
      <w:r w:rsidRPr="00901AC0">
        <w:rPr>
          <w:rFonts w:cs="Arial"/>
          <w:b/>
          <w:noProof/>
          <w:sz w:val="24"/>
        </w:rPr>
        <w:t xml:space="preserve"> – 22</w:t>
      </w:r>
      <w:r w:rsidRPr="00901AC0">
        <w:rPr>
          <w:rFonts w:cs="Arial"/>
          <w:b/>
          <w:noProof/>
          <w:sz w:val="24"/>
          <w:vertAlign w:val="superscript"/>
        </w:rPr>
        <w:t>th</w:t>
      </w:r>
      <w:r w:rsidRPr="00901AC0">
        <w:rPr>
          <w:rFonts w:cs="Arial"/>
          <w:b/>
          <w:noProof/>
          <w:sz w:val="24"/>
        </w:rPr>
        <w:t xml:space="preserve"> November 2019</w:t>
      </w:r>
    </w:p>
    <w:p w14:paraId="45F8D62C" w14:textId="77777777" w:rsidR="0007617C" w:rsidRPr="00901AC0" w:rsidRDefault="0007617C" w:rsidP="0007617C">
      <w:pPr>
        <w:pStyle w:val="3GPPHeader"/>
      </w:pPr>
    </w:p>
    <w:p w14:paraId="763D35D1" w14:textId="6E17C480" w:rsidR="0007617C" w:rsidRPr="00901AC0" w:rsidRDefault="0007617C" w:rsidP="0007617C">
      <w:pPr>
        <w:pStyle w:val="3GPPHeader"/>
        <w:rPr>
          <w:sz w:val="22"/>
          <w:szCs w:val="22"/>
          <w:lang w:val="en-US"/>
        </w:rPr>
      </w:pPr>
      <w:r w:rsidRPr="00901AC0">
        <w:rPr>
          <w:sz w:val="22"/>
          <w:szCs w:val="22"/>
          <w:lang w:val="en-US"/>
        </w:rPr>
        <w:t>Agenda Item:</w:t>
      </w:r>
      <w:r w:rsidRPr="00901AC0">
        <w:rPr>
          <w:sz w:val="22"/>
          <w:szCs w:val="22"/>
          <w:lang w:val="en-US"/>
        </w:rPr>
        <w:tab/>
      </w:r>
      <w:bookmarkStart w:id="1" w:name="_GoBack"/>
      <w:r w:rsidRPr="00901AC0">
        <w:rPr>
          <w:sz w:val="22"/>
        </w:rPr>
        <w:t>6</w:t>
      </w:r>
      <w:r w:rsidRPr="00901AC0">
        <w:rPr>
          <w:sz w:val="22"/>
          <w:szCs w:val="22"/>
          <w:lang w:val="en-US"/>
        </w:rPr>
        <w:t>.4.</w:t>
      </w:r>
      <w:r w:rsidR="00901AC0" w:rsidRPr="00901AC0">
        <w:rPr>
          <w:sz w:val="22"/>
          <w:szCs w:val="22"/>
          <w:lang w:val="en-US"/>
        </w:rPr>
        <w:t>2</w:t>
      </w:r>
      <w:bookmarkEnd w:id="1"/>
    </w:p>
    <w:p w14:paraId="00B6B2ED" w14:textId="77777777" w:rsidR="00201BEF" w:rsidRPr="00901AC0" w:rsidRDefault="00201BEF" w:rsidP="00201BEF">
      <w:pPr>
        <w:pStyle w:val="3GPPHeader"/>
        <w:rPr>
          <w:rFonts w:cs="Arial"/>
          <w:sz w:val="22"/>
          <w:szCs w:val="22"/>
        </w:rPr>
      </w:pPr>
      <w:r w:rsidRPr="00901AC0">
        <w:rPr>
          <w:rFonts w:cs="Arial"/>
          <w:sz w:val="22"/>
          <w:szCs w:val="22"/>
        </w:rPr>
        <w:t>Source:</w:t>
      </w:r>
      <w:r w:rsidRPr="00901AC0">
        <w:rPr>
          <w:rFonts w:cs="Arial"/>
          <w:sz w:val="22"/>
          <w:szCs w:val="22"/>
        </w:rPr>
        <w:tab/>
        <w:t>Ericsson</w:t>
      </w:r>
    </w:p>
    <w:p w14:paraId="7BFAE83D" w14:textId="5D427C88" w:rsidR="00201BEF" w:rsidRPr="00901AC0" w:rsidRDefault="00201BEF" w:rsidP="00201BEF">
      <w:pPr>
        <w:pStyle w:val="3GPPHeader"/>
        <w:rPr>
          <w:rFonts w:cs="Arial"/>
          <w:sz w:val="22"/>
          <w:szCs w:val="22"/>
        </w:rPr>
      </w:pPr>
      <w:r w:rsidRPr="00901AC0">
        <w:rPr>
          <w:rFonts w:cs="Arial"/>
          <w:sz w:val="22"/>
          <w:szCs w:val="22"/>
        </w:rPr>
        <w:t>Title:</w:t>
      </w:r>
      <w:r w:rsidRPr="00901AC0">
        <w:rPr>
          <w:rFonts w:cs="Arial"/>
          <w:sz w:val="22"/>
          <w:szCs w:val="22"/>
        </w:rPr>
        <w:tab/>
      </w:r>
      <w:r w:rsidR="00B06F7C" w:rsidRPr="00901AC0">
        <w:rPr>
          <w:rFonts w:cs="Arial"/>
          <w:sz w:val="22"/>
          <w:szCs w:val="22"/>
        </w:rPr>
        <w:t>S</w:t>
      </w:r>
      <w:r w:rsidR="00382B5F" w:rsidRPr="00901AC0">
        <w:rPr>
          <w:rFonts w:cs="Arial"/>
          <w:sz w:val="22"/>
          <w:szCs w:val="22"/>
        </w:rPr>
        <w:t xml:space="preserve">upport of HARQ procedure over </w:t>
      </w:r>
      <w:proofErr w:type="spellStart"/>
      <w:r w:rsidR="00382B5F" w:rsidRPr="00901AC0">
        <w:rPr>
          <w:rFonts w:cs="Arial"/>
          <w:sz w:val="22"/>
          <w:szCs w:val="22"/>
        </w:rPr>
        <w:t>sidelink</w:t>
      </w:r>
      <w:proofErr w:type="spellEnd"/>
    </w:p>
    <w:p w14:paraId="63AC6A90" w14:textId="77777777" w:rsidR="00201BEF" w:rsidRPr="007A6B98" w:rsidRDefault="00201BEF" w:rsidP="00201BEF">
      <w:pPr>
        <w:pStyle w:val="3GPPHeader"/>
        <w:rPr>
          <w:rFonts w:cs="Arial"/>
          <w:sz w:val="22"/>
          <w:szCs w:val="22"/>
        </w:rPr>
      </w:pPr>
      <w:r w:rsidRPr="00901AC0">
        <w:rPr>
          <w:rFonts w:cs="Arial"/>
          <w:sz w:val="22"/>
          <w:szCs w:val="22"/>
        </w:rPr>
        <w:t>Document for:</w:t>
      </w:r>
      <w:r w:rsidRPr="00901AC0">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32B74826" w:rsidR="00B02797" w:rsidRPr="007A6B98" w:rsidRDefault="005324E3" w:rsidP="00B06F7C">
      <w:pPr>
        <w:pStyle w:val="BodyText"/>
        <w:rPr>
          <w:rFonts w:cs="Arial"/>
        </w:rPr>
      </w:pPr>
      <w:r w:rsidRPr="00D03BCD">
        <w:rPr>
          <w:rFonts w:cs="Arial"/>
        </w:rPr>
        <w:t xml:space="preserve">The study of the unicast and groupcast </w:t>
      </w:r>
      <w:proofErr w:type="spellStart"/>
      <w:r w:rsidRPr="00D03BCD">
        <w:rPr>
          <w:rFonts w:cs="Arial"/>
        </w:rPr>
        <w:t>sidelink</w:t>
      </w:r>
      <w:proofErr w:type="spellEnd"/>
      <w:r w:rsidRPr="00D03BCD">
        <w:rPr>
          <w:rFonts w:cs="Arial"/>
        </w:rPr>
        <w:t xml:space="preserve"> V2X communications is included in the </w:t>
      </w:r>
      <w:r>
        <w:rPr>
          <w:rFonts w:cs="Arial"/>
        </w:rPr>
        <w:t>W</w:t>
      </w:r>
      <w:r w:rsidRPr="00D03BCD">
        <w:rPr>
          <w:rFonts w:cs="Arial"/>
        </w:rPr>
        <w:t>ID</w:t>
      </w:r>
      <w:r>
        <w:rPr>
          <w:rFonts w:cs="Arial"/>
        </w:rPr>
        <w:t xml:space="preserve"> </w:t>
      </w:r>
      <w:r>
        <w:rPr>
          <w:rFonts w:cs="Arial"/>
        </w:rPr>
        <w:fldChar w:fldCharType="begin"/>
      </w:r>
      <w:r>
        <w:rPr>
          <w:rFonts w:cs="Arial"/>
        </w:rPr>
        <w:instrText xml:space="preserve"> REF _Ref14079684 \r \h </w:instrText>
      </w:r>
      <w:r>
        <w:rPr>
          <w:rFonts w:cs="Arial"/>
        </w:rPr>
      </w:r>
      <w:r>
        <w:rPr>
          <w:rFonts w:cs="Arial"/>
        </w:rPr>
        <w:fldChar w:fldCharType="separate"/>
      </w:r>
      <w:r w:rsidR="00C82BF5">
        <w:rPr>
          <w:rFonts w:cs="Arial"/>
        </w:rPr>
        <w:t>[1]</w:t>
      </w:r>
      <w:r>
        <w:rPr>
          <w:rFonts w:cs="Arial"/>
        </w:rPr>
        <w:fldChar w:fldCharType="end"/>
      </w:r>
      <w:r>
        <w:rPr>
          <w:rFonts w:cs="Arial"/>
        </w:rPr>
        <w:t xml:space="preserve">. </w:t>
      </w:r>
      <w:r w:rsidRPr="00D03BCD">
        <w:rPr>
          <w:rFonts w:cs="Arial"/>
        </w:rPr>
        <w:t xml:space="preserve">In general, the design of HARQ </w:t>
      </w:r>
      <w:r>
        <w:rPr>
          <w:rFonts w:cs="Arial"/>
        </w:rPr>
        <w:t>procedure</w:t>
      </w:r>
      <w:r w:rsidRPr="00D03BCD">
        <w:rPr>
          <w:rFonts w:cs="Arial"/>
        </w:rPr>
        <w:t xml:space="preserve">s affects the physical layer design, but also the L2 protocols. </w:t>
      </w:r>
      <w:r w:rsidRPr="008516F5">
        <w:rPr>
          <w:rFonts w:cs="Arial"/>
        </w:rPr>
        <w:t xml:space="preserve">In this paper, we further discuss some of the technical aspects related to SL HARQ </w:t>
      </w:r>
      <w:r>
        <w:rPr>
          <w:rFonts w:cs="Arial"/>
        </w:rPr>
        <w:t>procedure</w:t>
      </w:r>
      <w:r w:rsidRPr="008516F5">
        <w:rPr>
          <w:rFonts w:cs="Arial"/>
        </w:rPr>
        <w:t xml:space="preserve">s, with focus on design of HARQ </w:t>
      </w:r>
      <w:r>
        <w:rPr>
          <w:rFonts w:cs="Arial"/>
        </w:rPr>
        <w:t>procedures</w:t>
      </w:r>
      <w:r w:rsidRPr="008516F5">
        <w:rPr>
          <w:rFonts w:cs="Arial"/>
        </w:rPr>
        <w:t xml:space="preserve"> over SL</w:t>
      </w:r>
      <w:r>
        <w:rPr>
          <w:rFonts w:cs="Arial"/>
        </w:rPr>
        <w:t>, for both mode 1 and mode 2 operations</w:t>
      </w:r>
      <w:r w:rsidRPr="008516F5">
        <w:rPr>
          <w:rFonts w:cs="Arial"/>
        </w:rPr>
        <w:t>.</w:t>
      </w:r>
      <w:r w:rsidR="00B06F7C">
        <w:rPr>
          <w:rFonts w:cs="Arial"/>
        </w:rPr>
        <w:t xml:space="preserve"> Further, also</w:t>
      </w:r>
      <w:r w:rsidR="00B06F7C" w:rsidRPr="00B06F7C">
        <w:rPr>
          <w:rFonts w:cs="Arial"/>
        </w:rPr>
        <w:t xml:space="preserve"> some open questions on how to configure PSFCH resources for option 1 and option</w:t>
      </w:r>
      <w:r w:rsidR="00B06F7C">
        <w:rPr>
          <w:rFonts w:cs="Arial"/>
        </w:rPr>
        <w:t xml:space="preserve"> </w:t>
      </w:r>
      <w:r w:rsidR="00B06F7C" w:rsidRPr="00B06F7C">
        <w:rPr>
          <w:rFonts w:cs="Arial"/>
        </w:rPr>
        <w:t>2 HARQ feedback</w:t>
      </w:r>
      <w:r w:rsidR="00B06F7C">
        <w:rPr>
          <w:rFonts w:cs="Arial"/>
        </w:rPr>
        <w:t xml:space="preserve"> are addressed</w:t>
      </w:r>
      <w:r w:rsidR="00B06F7C" w:rsidRPr="00B06F7C">
        <w:rPr>
          <w:rFonts w:cs="Arial"/>
        </w:rPr>
        <w:t>.</w:t>
      </w:r>
      <w:r w:rsidR="00B06F7C">
        <w:rPr>
          <w:rFonts w:cs="Arial"/>
        </w:rPr>
        <w:t xml:space="preserve"> Relevant agreements regarding HARQ for unicast and groupcast </w:t>
      </w:r>
      <w:proofErr w:type="spellStart"/>
      <w:r w:rsidR="00B06F7C">
        <w:rPr>
          <w:rFonts w:cs="Arial"/>
        </w:rPr>
        <w:t>sidelink</w:t>
      </w:r>
      <w:proofErr w:type="spellEnd"/>
      <w:r w:rsidR="00B06F7C">
        <w:rPr>
          <w:rFonts w:cs="Arial"/>
        </w:rPr>
        <w:t xml:space="preserve"> can be found in the Annex section.</w:t>
      </w:r>
    </w:p>
    <w:p w14:paraId="1F55999B" w14:textId="749DFE9D" w:rsidR="00201BEF" w:rsidRDefault="00201BEF" w:rsidP="00201BEF">
      <w:pPr>
        <w:pStyle w:val="Heading1"/>
      </w:pPr>
      <w:bookmarkStart w:id="2" w:name="_Ref490149211"/>
      <w:r w:rsidRPr="007A6B98">
        <w:t>Discussion</w:t>
      </w:r>
      <w:bookmarkEnd w:id="2"/>
    </w:p>
    <w:p w14:paraId="05F38658" w14:textId="110B82CA" w:rsidR="00B06F7C" w:rsidRPr="00B06F7C" w:rsidRDefault="00B06F7C" w:rsidP="00B06F7C">
      <w:pPr>
        <w:pStyle w:val="Heading2"/>
        <w:rPr>
          <w:rFonts w:eastAsia="Arial"/>
        </w:rPr>
      </w:pPr>
      <w:r w:rsidRPr="00B06F7C">
        <w:rPr>
          <w:rFonts w:eastAsia="Arial"/>
        </w:rPr>
        <w:t xml:space="preserve">Support of HARQ procedure </w:t>
      </w:r>
      <w:r w:rsidR="00D06AFA">
        <w:rPr>
          <w:rFonts w:eastAsia="Arial"/>
        </w:rPr>
        <w:t>over</w:t>
      </w:r>
      <w:r w:rsidRPr="00B06F7C">
        <w:rPr>
          <w:rFonts w:eastAsia="Arial"/>
        </w:rPr>
        <w:t xml:space="preserve"> </w:t>
      </w:r>
      <w:proofErr w:type="spellStart"/>
      <w:r w:rsidRPr="00B06F7C">
        <w:rPr>
          <w:rFonts w:eastAsia="Arial"/>
        </w:rPr>
        <w:t>sidelink</w:t>
      </w:r>
      <w:proofErr w:type="spellEnd"/>
    </w:p>
    <w:p w14:paraId="7029A9D0" w14:textId="341EE1A0" w:rsidR="00FE362E" w:rsidRDefault="00625F2B" w:rsidP="005324E3">
      <w:pPr>
        <w:rPr>
          <w:rFonts w:eastAsia="Arial"/>
        </w:rPr>
      </w:pPr>
      <w:r>
        <w:rPr>
          <w:rFonts w:eastAsia="Arial"/>
        </w:rPr>
        <w:t xml:space="preserve">RAN1 agreed </w:t>
      </w:r>
      <w:r w:rsidR="003F69FD">
        <w:rPr>
          <w:rFonts w:eastAsia="Arial"/>
        </w:rPr>
        <w:t xml:space="preserve">that </w:t>
      </w:r>
      <w:r w:rsidR="00C651FF">
        <w:rPr>
          <w:rFonts w:eastAsia="Arial"/>
        </w:rPr>
        <w:t xml:space="preserve">SL </w:t>
      </w:r>
      <w:r w:rsidR="003F69FD">
        <w:rPr>
          <w:rFonts w:eastAsia="Arial"/>
        </w:rPr>
        <w:t xml:space="preserve">HARQ feedback </w:t>
      </w:r>
      <w:r w:rsidR="00B1061C">
        <w:rPr>
          <w:rFonts w:eastAsia="Arial"/>
        </w:rPr>
        <w:t>is enabled/disable</w:t>
      </w:r>
      <w:r w:rsidR="00F14F9F">
        <w:rPr>
          <w:rFonts w:eastAsia="Arial"/>
        </w:rPr>
        <w:t>d</w:t>
      </w:r>
      <w:r w:rsidR="00B1061C">
        <w:rPr>
          <w:rFonts w:eastAsia="Arial"/>
        </w:rPr>
        <w:t xml:space="preserve"> by (pre-)configuration</w:t>
      </w:r>
      <w:r w:rsidR="00C651FF">
        <w:rPr>
          <w:rFonts w:eastAsia="Arial"/>
        </w:rPr>
        <w:t>, leaving the</w:t>
      </w:r>
      <w:r w:rsidR="00695DC4">
        <w:rPr>
          <w:rFonts w:eastAsia="Arial"/>
        </w:rPr>
        <w:t xml:space="preserve"> possibility of having</w:t>
      </w:r>
      <w:r w:rsidR="00C651FF">
        <w:rPr>
          <w:rFonts w:eastAsia="Arial"/>
        </w:rPr>
        <w:t xml:space="preserve"> additional conditions for disabling it. </w:t>
      </w:r>
      <w:r w:rsidR="00FF59B4">
        <w:rPr>
          <w:rFonts w:eastAsia="Arial"/>
        </w:rPr>
        <w:t xml:space="preserve">In our view, the use of SL </w:t>
      </w:r>
      <w:r w:rsidR="00C775E7">
        <w:rPr>
          <w:rFonts w:eastAsia="Arial"/>
        </w:rPr>
        <w:t xml:space="preserve">HARQ feedback should mostly depend on QoS and, for Mode-2 UEs, on congestion control. </w:t>
      </w:r>
      <w:r w:rsidR="00DB79FD">
        <w:rPr>
          <w:rFonts w:eastAsia="Arial"/>
        </w:rPr>
        <w:t xml:space="preserve">For </w:t>
      </w:r>
      <w:r w:rsidR="00E2204D">
        <w:rPr>
          <w:rFonts w:eastAsia="Arial"/>
        </w:rPr>
        <w:t xml:space="preserve">Mode-1 UEs, congestion control </w:t>
      </w:r>
      <w:r w:rsidR="0019637F">
        <w:rPr>
          <w:rFonts w:eastAsia="Arial"/>
        </w:rPr>
        <w:t xml:space="preserve">should be considered by the </w:t>
      </w:r>
      <w:proofErr w:type="spellStart"/>
      <w:r w:rsidR="0019637F">
        <w:rPr>
          <w:rFonts w:eastAsia="Arial"/>
        </w:rPr>
        <w:t>gNB</w:t>
      </w:r>
      <w:proofErr w:type="spellEnd"/>
      <w:r w:rsidR="002945C9">
        <w:rPr>
          <w:rFonts w:eastAsia="Arial"/>
        </w:rPr>
        <w:t xml:space="preserve"> whe</w:t>
      </w:r>
      <w:r w:rsidR="00860537">
        <w:rPr>
          <w:rFonts w:eastAsia="Arial"/>
        </w:rPr>
        <w:t>n allocating resources</w:t>
      </w:r>
      <w:r w:rsidR="0019637F">
        <w:rPr>
          <w:rFonts w:eastAsia="Arial"/>
        </w:rPr>
        <w:t xml:space="preserve"> </w:t>
      </w:r>
      <w:r w:rsidR="002945C9">
        <w:rPr>
          <w:rFonts w:eastAsia="Arial"/>
        </w:rPr>
        <w:t>and, consequently, th</w:t>
      </w:r>
      <w:r w:rsidR="00860537">
        <w:rPr>
          <w:rFonts w:eastAsia="Arial"/>
        </w:rPr>
        <w:t xml:space="preserve">e UE should not apply </w:t>
      </w:r>
      <w:r w:rsidR="000E66D5">
        <w:rPr>
          <w:rFonts w:eastAsia="Arial"/>
        </w:rPr>
        <w:t xml:space="preserve">congestion control </w:t>
      </w:r>
      <w:r w:rsidR="00884197">
        <w:rPr>
          <w:rFonts w:eastAsia="Arial"/>
        </w:rPr>
        <w:t xml:space="preserve">to </w:t>
      </w:r>
      <w:r w:rsidR="004B425D">
        <w:rPr>
          <w:rFonts w:eastAsia="Arial"/>
        </w:rPr>
        <w:t>Mode-1 grants.</w:t>
      </w:r>
      <w:r w:rsidR="00771A49">
        <w:rPr>
          <w:rFonts w:eastAsia="Arial"/>
        </w:rPr>
        <w:t xml:space="preserve"> Note that the </w:t>
      </w:r>
      <w:proofErr w:type="spellStart"/>
      <w:r w:rsidR="00771A49">
        <w:rPr>
          <w:rFonts w:eastAsia="Arial"/>
        </w:rPr>
        <w:t>gNB</w:t>
      </w:r>
      <w:proofErr w:type="spellEnd"/>
      <w:r w:rsidR="00771A49">
        <w:rPr>
          <w:rFonts w:eastAsia="Arial"/>
        </w:rPr>
        <w:t xml:space="preserve"> can determine the congestion level via UE reports such as CBR reports.</w:t>
      </w:r>
    </w:p>
    <w:p w14:paraId="7F627D7F" w14:textId="19319F98" w:rsidR="005324E3" w:rsidRPr="0068345D" w:rsidRDefault="00D87823" w:rsidP="005324E3">
      <w:pPr>
        <w:pStyle w:val="Observation"/>
        <w:overflowPunct/>
        <w:autoSpaceDE/>
        <w:autoSpaceDN/>
        <w:adjustRightInd/>
        <w:spacing w:line="259" w:lineRule="auto"/>
        <w:jc w:val="left"/>
        <w:textAlignment w:val="auto"/>
      </w:pPr>
      <w:bookmarkStart w:id="3" w:name="_Toc534810000"/>
      <w:bookmarkStart w:id="4" w:name="_Toc534810025"/>
      <w:bookmarkStart w:id="5" w:name="_Toc534992867"/>
      <w:bookmarkStart w:id="6" w:name="_Toc1039767"/>
      <w:bookmarkStart w:id="7" w:name="_Toc1120553"/>
      <w:bookmarkStart w:id="8" w:name="_Toc5119259"/>
      <w:bookmarkStart w:id="9" w:name="_Toc7391373"/>
      <w:bookmarkStart w:id="10" w:name="_Toc7684128"/>
      <w:bookmarkStart w:id="11" w:name="_Toc7728940"/>
      <w:bookmarkStart w:id="12" w:name="_Toc14105319"/>
      <w:bookmarkStart w:id="13" w:name="_Toc23949557"/>
      <w:r w:rsidRPr="00D87823">
        <w:rPr>
          <w:rFonts w:eastAsia="Arial" w:cs="Arial"/>
        </w:rPr>
        <w:t>The use of SL HARQ feedback should mostly depend on QoS. In addition, for Mode-2 UE, it should depend on congestion control</w:t>
      </w:r>
      <w:r w:rsidR="005324E3" w:rsidRPr="007D3FC8">
        <w:rPr>
          <w:rFonts w:eastAsia="Arial" w:cs="Arial"/>
        </w:rPr>
        <w:t>.</w:t>
      </w:r>
      <w:bookmarkEnd w:id="3"/>
      <w:bookmarkEnd w:id="4"/>
      <w:bookmarkEnd w:id="5"/>
      <w:bookmarkEnd w:id="6"/>
      <w:bookmarkEnd w:id="7"/>
      <w:bookmarkEnd w:id="8"/>
      <w:bookmarkEnd w:id="9"/>
      <w:bookmarkEnd w:id="10"/>
      <w:bookmarkEnd w:id="11"/>
      <w:bookmarkEnd w:id="12"/>
      <w:bookmarkEnd w:id="13"/>
    </w:p>
    <w:p w14:paraId="514D7E73" w14:textId="174FE7D2" w:rsidR="00A56982" w:rsidRDefault="003A3C47" w:rsidP="003A3C47">
      <w:r>
        <w:t xml:space="preserve">In addition, </w:t>
      </w:r>
      <w:r w:rsidR="000957D1">
        <w:t xml:space="preserve">given that </w:t>
      </w:r>
      <w:r w:rsidR="00120E2F">
        <w:t xml:space="preserve">HARQ </w:t>
      </w:r>
      <w:r w:rsidR="000957D1">
        <w:t xml:space="preserve">feedback </w:t>
      </w:r>
      <w:r w:rsidR="00120E2F">
        <w:t xml:space="preserve">resources at PHY </w:t>
      </w:r>
      <w:r w:rsidR="000957D1">
        <w:t>(i.e.</w:t>
      </w:r>
      <w:r w:rsidR="00120E2F">
        <w:t>,</w:t>
      </w:r>
      <w:r w:rsidR="000957D1">
        <w:t xml:space="preserve"> PSFCH) are configured per pool, it </w:t>
      </w:r>
      <w:r w:rsidR="003E6082">
        <w:t xml:space="preserve">is straightforward that </w:t>
      </w:r>
      <w:r w:rsidR="00D247BA">
        <w:t xml:space="preserve">some pools will (not) support HARQ feedback. This is </w:t>
      </w:r>
      <w:r w:rsidR="00A56982">
        <w:t xml:space="preserve">only relevant for Mode 2, where the UE may be configured with multiple TX pools at the same time. </w:t>
      </w:r>
      <w:r w:rsidR="00510EB1">
        <w:t xml:space="preserve">We discuss issues related to pools, resource allocation, and HARQ in </w:t>
      </w:r>
      <w:r w:rsidR="00957270">
        <w:t xml:space="preserve">Section </w:t>
      </w:r>
      <w:r w:rsidR="00957270">
        <w:fldChar w:fldCharType="begin"/>
      </w:r>
      <w:r w:rsidR="00957270">
        <w:instrText xml:space="preserve"> REF _Ref16003123 \r \h </w:instrText>
      </w:r>
      <w:r w:rsidR="00957270">
        <w:fldChar w:fldCharType="separate"/>
      </w:r>
      <w:r w:rsidR="00957270">
        <w:t>2.2</w:t>
      </w:r>
      <w:r w:rsidR="00957270">
        <w:fldChar w:fldCharType="end"/>
      </w:r>
      <w:r w:rsidR="00957270">
        <w:t>.</w:t>
      </w:r>
    </w:p>
    <w:p w14:paraId="3EC45C6D" w14:textId="032F0F8E" w:rsidR="00C02616" w:rsidRPr="0068345D" w:rsidRDefault="00120E2F" w:rsidP="00C02616">
      <w:pPr>
        <w:pStyle w:val="Observation"/>
        <w:overflowPunct/>
        <w:autoSpaceDE/>
        <w:autoSpaceDN/>
        <w:adjustRightInd/>
        <w:spacing w:line="259" w:lineRule="auto"/>
        <w:jc w:val="left"/>
        <w:textAlignment w:val="auto"/>
      </w:pPr>
      <w:bookmarkStart w:id="14" w:name="_Toc23949558"/>
      <w:r>
        <w:rPr>
          <w:rFonts w:eastAsia="Arial" w:cs="Arial"/>
        </w:rPr>
        <w:t>PHY HARQ feedback resources are configured per pool.</w:t>
      </w:r>
      <w:bookmarkEnd w:id="14"/>
    </w:p>
    <w:p w14:paraId="66FC6FDD" w14:textId="77777777" w:rsidR="00585B50" w:rsidRPr="00195F2B" w:rsidRDefault="00585B50">
      <w:pPr>
        <w:rPr>
          <w:rFonts w:cs="Arial"/>
        </w:rPr>
      </w:pPr>
      <w:bookmarkStart w:id="15" w:name="_Toc7684123"/>
      <w:bookmarkEnd w:id="15"/>
      <w:r>
        <w:t xml:space="preserve">To operate SL HARQ feedback properly, the transmitter UE must include a field in SCI indicating whether </w:t>
      </w:r>
      <w:r w:rsidRPr="009E2D87">
        <w:t xml:space="preserve">HARQ feedback is requested or not. </w:t>
      </w:r>
      <w:r w:rsidRPr="00195F2B">
        <w:rPr>
          <w:rFonts w:cs="Arial"/>
        </w:rPr>
        <w:t xml:space="preserve">Although </w:t>
      </w:r>
      <w:r>
        <w:rPr>
          <w:rFonts w:cs="Arial"/>
        </w:rPr>
        <w:t xml:space="preserve">in principle </w:t>
      </w:r>
      <w:r w:rsidRPr="00195F2B">
        <w:rPr>
          <w:rFonts w:cs="Arial"/>
        </w:rPr>
        <w:t>the receiver</w:t>
      </w:r>
      <w:r>
        <w:rPr>
          <w:rFonts w:cs="Arial"/>
        </w:rPr>
        <w:t xml:space="preserve"> UE</w:t>
      </w:r>
      <w:r w:rsidRPr="00195F2B">
        <w:rPr>
          <w:rFonts w:cs="Arial"/>
        </w:rPr>
        <w:t xml:space="preserve"> </w:t>
      </w:r>
      <w:r>
        <w:rPr>
          <w:rFonts w:cs="Arial"/>
        </w:rPr>
        <w:t>can obtain this information from the LCH configuration</w:t>
      </w:r>
      <w:r w:rsidRPr="00195F2B">
        <w:rPr>
          <w:rFonts w:cs="Arial"/>
        </w:rPr>
        <w:t>, there are multiple reasons why this indication needs to be conveyed by lower-layer signalling:</w:t>
      </w:r>
    </w:p>
    <w:p w14:paraId="7D5C583C" w14:textId="77777777" w:rsidR="00585B50" w:rsidRDefault="00585B50" w:rsidP="00ED25A4">
      <w:pPr>
        <w:pStyle w:val="ListParagraph"/>
        <w:numPr>
          <w:ilvl w:val="0"/>
          <w:numId w:val="23"/>
        </w:numPr>
        <w:jc w:val="both"/>
        <w:rPr>
          <w:rFonts w:ascii="Arial" w:hAnsi="Arial" w:cs="Arial"/>
          <w:sz w:val="20"/>
          <w:szCs w:val="20"/>
        </w:rPr>
      </w:pPr>
      <w:r w:rsidRPr="00195F2B">
        <w:rPr>
          <w:rFonts w:ascii="Arial" w:hAnsi="Arial" w:cs="Arial"/>
          <w:sz w:val="20"/>
          <w:szCs w:val="20"/>
        </w:rPr>
        <w:t>The receiver UE does not know the LCH</w:t>
      </w:r>
      <w:r>
        <w:rPr>
          <w:rFonts w:ascii="Arial" w:hAnsi="Arial" w:cs="Arial"/>
          <w:sz w:val="20"/>
          <w:szCs w:val="20"/>
        </w:rPr>
        <w:t>(s)</w:t>
      </w:r>
      <w:r w:rsidRPr="00195F2B">
        <w:rPr>
          <w:rFonts w:ascii="Arial" w:hAnsi="Arial" w:cs="Arial"/>
          <w:sz w:val="20"/>
          <w:szCs w:val="20"/>
        </w:rPr>
        <w:t xml:space="preserve"> until it has decoded the TB and</w:t>
      </w:r>
      <w:r>
        <w:rPr>
          <w:rFonts w:ascii="Arial" w:hAnsi="Arial" w:cs="Arial"/>
          <w:sz w:val="20"/>
          <w:szCs w:val="20"/>
        </w:rPr>
        <w:t>,</w:t>
      </w:r>
      <w:r w:rsidRPr="00195F2B">
        <w:rPr>
          <w:rFonts w:ascii="Arial" w:hAnsi="Arial" w:cs="Arial"/>
          <w:sz w:val="20"/>
          <w:szCs w:val="20"/>
        </w:rPr>
        <w:t xml:space="preserve"> consequently, it would </w:t>
      </w:r>
      <w:r>
        <w:rPr>
          <w:rFonts w:ascii="Arial" w:hAnsi="Arial" w:cs="Arial"/>
          <w:sz w:val="20"/>
          <w:szCs w:val="20"/>
        </w:rPr>
        <w:t>not know whether to transmit a NACK message or not if it could not decode the TB.</w:t>
      </w:r>
    </w:p>
    <w:p w14:paraId="5AB1E5AA" w14:textId="77777777" w:rsidR="00585B50" w:rsidRPr="00195F2B" w:rsidRDefault="00585B50" w:rsidP="00ED25A4">
      <w:pPr>
        <w:pStyle w:val="ListParagraph"/>
        <w:numPr>
          <w:ilvl w:val="0"/>
          <w:numId w:val="23"/>
        </w:numPr>
        <w:jc w:val="both"/>
        <w:rPr>
          <w:rFonts w:cs="Arial"/>
        </w:rPr>
      </w:pPr>
      <w:r>
        <w:rPr>
          <w:rFonts w:ascii="Arial" w:hAnsi="Arial" w:cs="Arial"/>
          <w:sz w:val="20"/>
          <w:szCs w:val="20"/>
        </w:rPr>
        <w:t>The LCH configuration only indicates whether SL HARQ feedback is enabled or not. However, additional restrictions may apply, for example, for Mode-2 UEs in congested scenarios. Conveying a HARQ NACK when the transmitter has not possibility to retransmit the TB (e.g., due to congestion control) would just create unnecessary interference in the PSFCH resource.</w:t>
      </w:r>
    </w:p>
    <w:p w14:paraId="6CF15771" w14:textId="47ECB2E8" w:rsidR="00294069" w:rsidRPr="00ED25A4" w:rsidRDefault="00585B50" w:rsidP="00ED25A4">
      <w:pPr>
        <w:pStyle w:val="Proposal"/>
        <w:tabs>
          <w:tab w:val="num" w:pos="1304"/>
        </w:tabs>
        <w:overflowPunct/>
        <w:autoSpaceDE/>
        <w:autoSpaceDN/>
        <w:adjustRightInd/>
        <w:spacing w:after="160" w:line="259" w:lineRule="auto"/>
        <w:ind w:left="1304" w:hanging="1304"/>
        <w:jc w:val="left"/>
        <w:textAlignment w:val="auto"/>
        <w:rPr>
          <w:rFonts w:cs="Arial"/>
        </w:rPr>
      </w:pPr>
      <w:bookmarkStart w:id="16" w:name="_Toc20750420"/>
      <w:bookmarkStart w:id="17" w:name="_Toc20750756"/>
      <w:bookmarkStart w:id="18" w:name="_Toc21005078"/>
      <w:bookmarkStart w:id="19" w:name="_Toc21006207"/>
      <w:bookmarkStart w:id="20" w:name="_Toc23949265"/>
      <w:bookmarkStart w:id="21" w:name="_Toc23949572"/>
      <w:r w:rsidRPr="009E2D87">
        <w:rPr>
          <w:rFonts w:eastAsia="Arial" w:cs="Arial"/>
        </w:rPr>
        <w:t xml:space="preserve">SCI carries a field indicating the </w:t>
      </w:r>
      <w:r w:rsidR="00A52DD9">
        <w:rPr>
          <w:rFonts w:eastAsia="Arial" w:cs="Arial"/>
        </w:rPr>
        <w:t>request of</w:t>
      </w:r>
      <w:r w:rsidRPr="009E2D87">
        <w:rPr>
          <w:rFonts w:eastAsia="Arial" w:cs="Arial"/>
        </w:rPr>
        <w:t xml:space="preserve"> HARQ feedback i.e. ACK/NACK.</w:t>
      </w:r>
      <w:bookmarkEnd w:id="16"/>
      <w:bookmarkEnd w:id="17"/>
      <w:bookmarkEnd w:id="18"/>
      <w:bookmarkEnd w:id="19"/>
      <w:bookmarkEnd w:id="20"/>
      <w:bookmarkEnd w:id="21"/>
    </w:p>
    <w:p w14:paraId="11A0668F" w14:textId="77777777" w:rsidR="00B06F7C" w:rsidRDefault="00B06F7C" w:rsidP="00585B50">
      <w:pPr>
        <w:rPr>
          <w:rFonts w:eastAsia="Arial"/>
        </w:rPr>
      </w:pPr>
    </w:p>
    <w:p w14:paraId="0E63F7AD" w14:textId="59286C4D" w:rsidR="00B90D9B" w:rsidRDefault="00B90D9B" w:rsidP="00B06F7C">
      <w:pPr>
        <w:pStyle w:val="Heading3"/>
        <w:rPr>
          <w:rFonts w:eastAsia="Arial"/>
        </w:rPr>
      </w:pPr>
      <w:r>
        <w:rPr>
          <w:rFonts w:eastAsia="Arial"/>
        </w:rPr>
        <w:lastRenderedPageBreak/>
        <w:t>Mode 1</w:t>
      </w:r>
    </w:p>
    <w:p w14:paraId="01D71BE7" w14:textId="77777777" w:rsidR="00465CEC" w:rsidRPr="00C0722E" w:rsidRDefault="00465CEC" w:rsidP="00465CEC">
      <w:pPr>
        <w:rPr>
          <w:rFonts w:cs="Arial"/>
        </w:rPr>
      </w:pPr>
      <w:r w:rsidRPr="00C0722E">
        <w:rPr>
          <w:rFonts w:cs="Arial"/>
        </w:rPr>
        <w:t xml:space="preserve">In NR, multiple simultaneous HARQ processes may be used between UE and </w:t>
      </w:r>
      <w:proofErr w:type="spellStart"/>
      <w:r w:rsidRPr="00C0722E">
        <w:rPr>
          <w:rFonts w:cs="Arial"/>
        </w:rPr>
        <w:t>gNB</w:t>
      </w:r>
      <w:proofErr w:type="spellEnd"/>
      <w:r w:rsidRPr="00C0722E">
        <w:rPr>
          <w:rFonts w:cs="Arial"/>
        </w:rPr>
        <w:t xml:space="preserve"> for UL transmission. Each grant is associated with a HARQ process ID. Together with the NDI flag, the HARQ process ID allows the </w:t>
      </w:r>
      <w:proofErr w:type="spellStart"/>
      <w:r w:rsidRPr="00C0722E">
        <w:rPr>
          <w:rFonts w:cs="Arial"/>
        </w:rPr>
        <w:t>gNB</w:t>
      </w:r>
      <w:proofErr w:type="spellEnd"/>
      <w:r w:rsidRPr="00C0722E">
        <w:rPr>
          <w:rFonts w:cs="Arial"/>
        </w:rPr>
        <w:t xml:space="preserve"> to know which TB is transmitted in each granted resource. This is useful for the </w:t>
      </w:r>
      <w:proofErr w:type="spellStart"/>
      <w:r w:rsidRPr="00C0722E">
        <w:rPr>
          <w:rFonts w:cs="Arial"/>
        </w:rPr>
        <w:t>gNB</w:t>
      </w:r>
      <w:proofErr w:type="spellEnd"/>
      <w:r w:rsidRPr="00C0722E">
        <w:rPr>
          <w:rFonts w:cs="Arial"/>
        </w:rPr>
        <w:t>, not only because it is the receiver of the transmission, but also for managing the resources (e.g., knowing how many times each TB has been transmitted, etc.).</w:t>
      </w:r>
    </w:p>
    <w:p w14:paraId="345610A9" w14:textId="254D1642" w:rsidR="00465CEC" w:rsidRPr="00C0722E" w:rsidRDefault="00465CEC" w:rsidP="00465CEC">
      <w:pPr>
        <w:spacing w:before="240"/>
        <w:rPr>
          <w:rFonts w:cs="Arial"/>
        </w:rPr>
      </w:pPr>
      <w:r w:rsidRPr="00C0722E">
        <w:rPr>
          <w:rFonts w:cs="Arial"/>
        </w:rPr>
        <w:t xml:space="preserve">Now consider the following </w:t>
      </w:r>
      <w:r>
        <w:rPr>
          <w:rFonts w:cs="Arial"/>
        </w:rPr>
        <w:t>situation</w:t>
      </w:r>
      <w:r w:rsidRPr="00C0722E">
        <w:rPr>
          <w:rFonts w:cs="Arial"/>
        </w:rPr>
        <w:t xml:space="preserve"> for Mode-1 </w:t>
      </w:r>
      <w:proofErr w:type="spellStart"/>
      <w:r w:rsidRPr="00C0722E">
        <w:rPr>
          <w:rFonts w:cs="Arial"/>
        </w:rPr>
        <w:t>sidelink</w:t>
      </w:r>
      <w:proofErr w:type="spellEnd"/>
      <w:r>
        <w:rPr>
          <w:rFonts w:cs="Arial"/>
        </w:rPr>
        <w:t xml:space="preserve"> (see </w:t>
      </w:r>
      <w:r>
        <w:rPr>
          <w:rFonts w:cs="Arial"/>
        </w:rPr>
        <w:fldChar w:fldCharType="begin"/>
      </w:r>
      <w:r>
        <w:rPr>
          <w:rFonts w:cs="Arial"/>
        </w:rPr>
        <w:instrText xml:space="preserve"> REF _Ref20927942 \h  \* MERGEFORMAT </w:instrText>
      </w:r>
      <w:r>
        <w:rPr>
          <w:rFonts w:cs="Arial"/>
        </w:rPr>
      </w:r>
      <w:r>
        <w:rPr>
          <w:rFonts w:cs="Arial"/>
        </w:rPr>
        <w:fldChar w:fldCharType="separate"/>
      </w:r>
      <w:r w:rsidR="00534568" w:rsidRPr="00ED25A4">
        <w:rPr>
          <w:rFonts w:cs="Arial"/>
        </w:rPr>
        <w:t>Figure 2</w:t>
      </w:r>
      <w:r>
        <w:rPr>
          <w:rFonts w:cs="Arial"/>
        </w:rPr>
        <w:fldChar w:fldCharType="end"/>
      </w:r>
      <w:r>
        <w:rPr>
          <w:rFonts w:cs="Arial"/>
        </w:rPr>
        <w:t>)</w:t>
      </w:r>
      <w:r w:rsidRPr="00C0722E">
        <w:rPr>
          <w:rFonts w:cs="Arial"/>
        </w:rPr>
        <w:t>:</w:t>
      </w:r>
    </w:p>
    <w:p w14:paraId="64C9EF86" w14:textId="77777777" w:rsidR="00465CEC" w:rsidRPr="00C0722E" w:rsidRDefault="00465CEC" w:rsidP="00465CEC">
      <w:pPr>
        <w:pStyle w:val="ListParagraph"/>
        <w:widowControl w:val="0"/>
        <w:numPr>
          <w:ilvl w:val="0"/>
          <w:numId w:val="42"/>
        </w:numPr>
        <w:spacing w:before="240" w:after="240" w:line="240" w:lineRule="auto"/>
        <w:jc w:val="both"/>
        <w:rPr>
          <w:rFonts w:ascii="Arial" w:hAnsi="Arial" w:cs="Arial"/>
          <w:sz w:val="20"/>
          <w:szCs w:val="20"/>
        </w:rPr>
      </w:pPr>
      <w:r w:rsidRPr="00C0722E">
        <w:rPr>
          <w:rFonts w:ascii="Arial" w:hAnsi="Arial" w:cs="Arial"/>
          <w:sz w:val="20"/>
          <w:szCs w:val="20"/>
        </w:rPr>
        <w:t>The UE gets data in the buffer corresponding to LCH1 and it triggers the corresponding SR procedure.</w:t>
      </w:r>
    </w:p>
    <w:p w14:paraId="31F6C724"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22" w:name="_Ref20491962"/>
      <w:r w:rsidRPr="00C0722E">
        <w:rPr>
          <w:rFonts w:ascii="Arial" w:hAnsi="Arial" w:cs="Arial"/>
          <w:sz w:val="20"/>
          <w:szCs w:val="20"/>
        </w:rPr>
        <w:t xml:space="preserve">The UE sends the corresponding BSR to the </w:t>
      </w:r>
      <w:proofErr w:type="spellStart"/>
      <w:r w:rsidRPr="00C0722E">
        <w:rPr>
          <w:rFonts w:ascii="Arial" w:hAnsi="Arial" w:cs="Arial"/>
          <w:sz w:val="20"/>
          <w:szCs w:val="20"/>
        </w:rPr>
        <w:t>gNB</w:t>
      </w:r>
      <w:proofErr w:type="spellEnd"/>
      <w:r w:rsidRPr="00C0722E">
        <w:rPr>
          <w:rFonts w:ascii="Arial" w:hAnsi="Arial" w:cs="Arial"/>
          <w:sz w:val="20"/>
          <w:szCs w:val="20"/>
        </w:rPr>
        <w:t>.</w:t>
      </w:r>
      <w:bookmarkEnd w:id="22"/>
    </w:p>
    <w:p w14:paraId="63427349"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The BSR only contains information about the data in LCH1.</w:t>
      </w:r>
    </w:p>
    <w:p w14:paraId="074DB51A"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23" w:name="_Ref20492209"/>
      <w:r w:rsidRPr="00C0722E">
        <w:rPr>
          <w:rFonts w:ascii="Arial" w:hAnsi="Arial" w:cs="Arial"/>
          <w:sz w:val="20"/>
          <w:szCs w:val="20"/>
        </w:rPr>
        <w:t xml:space="preserve">The UE gets a grant from the </w:t>
      </w:r>
      <w:proofErr w:type="spellStart"/>
      <w:r w:rsidRPr="00C0722E">
        <w:rPr>
          <w:rFonts w:ascii="Arial" w:hAnsi="Arial" w:cs="Arial"/>
          <w:sz w:val="20"/>
          <w:szCs w:val="20"/>
        </w:rPr>
        <w:t>gNB</w:t>
      </w:r>
      <w:proofErr w:type="spellEnd"/>
      <w:r w:rsidRPr="00C0722E">
        <w:rPr>
          <w:rFonts w:ascii="Arial" w:hAnsi="Arial" w:cs="Arial"/>
          <w:sz w:val="20"/>
          <w:szCs w:val="20"/>
        </w:rPr>
        <w:t xml:space="preserve"> for transmission</w:t>
      </w:r>
    </w:p>
    <w:p w14:paraId="4B296A68"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 xml:space="preserve">The UE builds TB1, which carries only data from LCH1 </w:t>
      </w:r>
    </w:p>
    <w:p w14:paraId="0EE3E7F5"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r w:rsidRPr="00C0722E">
        <w:rPr>
          <w:rFonts w:ascii="Arial" w:hAnsi="Arial" w:cs="Arial"/>
          <w:sz w:val="20"/>
          <w:szCs w:val="20"/>
        </w:rPr>
        <w:t>The UE transmits TB1 on the granted resource.</w:t>
      </w:r>
    </w:p>
    <w:p w14:paraId="5846631E"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Sidelink transmission fails (e.g., NACK is received).</w:t>
      </w:r>
    </w:p>
    <w:p w14:paraId="1F5549D2" w14:textId="77777777" w:rsidR="00465CEC" w:rsidRPr="00C0722E" w:rsidRDefault="00465CEC" w:rsidP="00465CEC">
      <w:pPr>
        <w:pStyle w:val="ListParagraph"/>
        <w:widowControl w:val="0"/>
        <w:numPr>
          <w:ilvl w:val="0"/>
          <w:numId w:val="42"/>
        </w:numPr>
        <w:spacing w:after="240" w:line="240" w:lineRule="auto"/>
        <w:jc w:val="both"/>
        <w:rPr>
          <w:rFonts w:ascii="Arial" w:hAnsi="Arial" w:cs="Arial"/>
          <w:sz w:val="20"/>
          <w:szCs w:val="20"/>
        </w:rPr>
      </w:pPr>
      <w:r w:rsidRPr="00C0722E">
        <w:rPr>
          <w:rFonts w:ascii="Arial" w:hAnsi="Arial" w:cs="Arial"/>
          <w:sz w:val="20"/>
          <w:szCs w:val="20"/>
        </w:rPr>
        <w:t xml:space="preserve">The UE forwards the NACK to the </w:t>
      </w:r>
      <w:proofErr w:type="spellStart"/>
      <w:r w:rsidRPr="00C0722E">
        <w:rPr>
          <w:rFonts w:ascii="Arial" w:hAnsi="Arial" w:cs="Arial"/>
          <w:sz w:val="20"/>
          <w:szCs w:val="20"/>
        </w:rPr>
        <w:t>gNB</w:t>
      </w:r>
      <w:proofErr w:type="spellEnd"/>
      <w:r w:rsidRPr="00C0722E">
        <w:rPr>
          <w:rFonts w:ascii="Arial" w:hAnsi="Arial" w:cs="Arial"/>
          <w:sz w:val="20"/>
          <w:szCs w:val="20"/>
        </w:rPr>
        <w:t>.</w:t>
      </w:r>
    </w:p>
    <w:p w14:paraId="25FDC18D"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r w:rsidRPr="00C0722E">
        <w:rPr>
          <w:rFonts w:ascii="Arial" w:hAnsi="Arial" w:cs="Arial"/>
          <w:sz w:val="20"/>
          <w:szCs w:val="20"/>
        </w:rPr>
        <w:t>The UE gets new data in the buffer corresponding to LCH2 and it triggers the corresponding SR procedure.</w:t>
      </w:r>
    </w:p>
    <w:p w14:paraId="12F703E9"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LCH2 has higher priority than LCH1.</w:t>
      </w:r>
    </w:p>
    <w:p w14:paraId="295DB246"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24" w:name="_Ref20493331"/>
      <w:r w:rsidRPr="00C0722E">
        <w:rPr>
          <w:rFonts w:ascii="Arial" w:hAnsi="Arial" w:cs="Arial"/>
          <w:sz w:val="20"/>
          <w:szCs w:val="20"/>
        </w:rPr>
        <w:t xml:space="preserve">The UE gets a new grant from the </w:t>
      </w:r>
      <w:proofErr w:type="spellStart"/>
      <w:r w:rsidRPr="00C0722E">
        <w:rPr>
          <w:rFonts w:ascii="Arial" w:hAnsi="Arial" w:cs="Arial"/>
          <w:sz w:val="20"/>
          <w:szCs w:val="20"/>
        </w:rPr>
        <w:t>gNB</w:t>
      </w:r>
      <w:proofErr w:type="spellEnd"/>
      <w:r w:rsidRPr="00C0722E">
        <w:rPr>
          <w:rFonts w:ascii="Arial" w:hAnsi="Arial" w:cs="Arial"/>
          <w:sz w:val="20"/>
          <w:szCs w:val="20"/>
        </w:rPr>
        <w:t xml:space="preserve"> for transmission.</w:t>
      </w:r>
      <w:bookmarkEnd w:id="24"/>
    </w:p>
    <w:bookmarkEnd w:id="23"/>
    <w:p w14:paraId="2E9A8403" w14:textId="77777777" w:rsidR="00534568" w:rsidRDefault="00465CEC">
      <w:pPr>
        <w:keepNext/>
        <w:spacing w:before="240"/>
        <w:jc w:val="center"/>
      </w:pPr>
      <w:r>
        <w:rPr>
          <w:rFonts w:cs="Arial"/>
          <w:noProof/>
        </w:rPr>
        <w:drawing>
          <wp:inline distT="0" distB="0" distL="0" distR="0" wp14:anchorId="385ED2BF" wp14:editId="28C7CB52">
            <wp:extent cx="5236845" cy="3279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6845" cy="3279775"/>
                    </a:xfrm>
                    <a:prstGeom prst="rect">
                      <a:avLst/>
                    </a:prstGeom>
                    <a:noFill/>
                  </pic:spPr>
                </pic:pic>
              </a:graphicData>
            </a:graphic>
          </wp:inline>
        </w:drawing>
      </w:r>
    </w:p>
    <w:p w14:paraId="5DCCED5E" w14:textId="15639D59" w:rsidR="00465CEC" w:rsidRPr="00ED25A4" w:rsidRDefault="00465CEC" w:rsidP="00465CEC">
      <w:pPr>
        <w:pStyle w:val="Caption"/>
        <w:jc w:val="center"/>
        <w:rPr>
          <w:b/>
          <w:i w:val="0"/>
          <w:color w:val="auto"/>
        </w:rPr>
      </w:pPr>
      <w:bookmarkStart w:id="25" w:name="_Ref20927942"/>
      <w:r w:rsidRPr="00ED25A4">
        <w:rPr>
          <w:b/>
          <w:i w:val="0"/>
          <w:color w:val="auto"/>
        </w:rPr>
        <w:t xml:space="preserve">Figure </w:t>
      </w:r>
      <w:r w:rsidRPr="00ED25A4">
        <w:rPr>
          <w:b/>
          <w:i w:val="0"/>
          <w:color w:val="auto"/>
        </w:rPr>
        <w:fldChar w:fldCharType="begin"/>
      </w:r>
      <w:r w:rsidRPr="00ED25A4">
        <w:rPr>
          <w:b/>
          <w:i w:val="0"/>
          <w:color w:val="auto"/>
        </w:rPr>
        <w:instrText xml:space="preserve"> SEQ Figure \* ARABIC </w:instrText>
      </w:r>
      <w:r w:rsidRPr="00ED25A4">
        <w:rPr>
          <w:b/>
          <w:i w:val="0"/>
          <w:color w:val="auto"/>
        </w:rPr>
        <w:fldChar w:fldCharType="separate"/>
      </w:r>
      <w:r w:rsidR="00534568" w:rsidRPr="00ED25A4">
        <w:rPr>
          <w:b/>
          <w:i w:val="0"/>
          <w:color w:val="auto"/>
        </w:rPr>
        <w:t>2</w:t>
      </w:r>
      <w:r w:rsidRPr="00ED25A4">
        <w:rPr>
          <w:b/>
          <w:i w:val="0"/>
          <w:color w:val="auto"/>
        </w:rPr>
        <w:fldChar w:fldCharType="end"/>
      </w:r>
      <w:bookmarkEnd w:id="25"/>
      <w:r w:rsidRPr="00ED25A4">
        <w:rPr>
          <w:b/>
          <w:i w:val="0"/>
          <w:color w:val="auto"/>
        </w:rPr>
        <w:t xml:space="preserve">. </w:t>
      </w:r>
      <w:proofErr w:type="spellStart"/>
      <w:r w:rsidRPr="00ED25A4">
        <w:rPr>
          <w:b/>
          <w:i w:val="0"/>
          <w:color w:val="auto"/>
        </w:rPr>
        <w:t>Signaling</w:t>
      </w:r>
      <w:proofErr w:type="spellEnd"/>
      <w:r w:rsidRPr="00ED25A4">
        <w:rPr>
          <w:b/>
          <w:i w:val="0"/>
          <w:color w:val="auto"/>
        </w:rPr>
        <w:t xml:space="preserve"> between TX UE and </w:t>
      </w:r>
      <w:proofErr w:type="spellStart"/>
      <w:r w:rsidRPr="00ED25A4">
        <w:rPr>
          <w:b/>
          <w:i w:val="0"/>
          <w:color w:val="auto"/>
        </w:rPr>
        <w:t>gNB</w:t>
      </w:r>
      <w:proofErr w:type="spellEnd"/>
      <w:r w:rsidRPr="00ED25A4">
        <w:rPr>
          <w:b/>
          <w:i w:val="0"/>
          <w:color w:val="auto"/>
        </w:rPr>
        <w:t xml:space="preserve"> and RX UE.</w:t>
      </w:r>
    </w:p>
    <w:p w14:paraId="19BB1581" w14:textId="77777777" w:rsidR="00465CEC" w:rsidRPr="00C0722E" w:rsidRDefault="00465CEC" w:rsidP="00465CEC">
      <w:pPr>
        <w:spacing w:before="240"/>
        <w:rPr>
          <w:rFonts w:cs="Arial"/>
        </w:rPr>
      </w:pPr>
      <w:r w:rsidRPr="00C0722E">
        <w:rPr>
          <w:rFonts w:cs="Arial"/>
        </w:rPr>
        <w:t xml:space="preserve">At this point, the UE has data to transmit from two LCHs. When it receives the grant, it needs to know which data to transmit (i.e., TB1 carrying data from LCH1 or a newly built TB2 carrying data from LCH2). Similarly, the </w:t>
      </w:r>
      <w:proofErr w:type="spellStart"/>
      <w:r w:rsidRPr="00C0722E">
        <w:rPr>
          <w:rFonts w:cs="Arial"/>
        </w:rPr>
        <w:t>gNB</w:t>
      </w:r>
      <w:proofErr w:type="spellEnd"/>
      <w:r w:rsidRPr="00C0722E">
        <w:rPr>
          <w:rFonts w:cs="Arial"/>
        </w:rPr>
        <w:t xml:space="preserve"> also needs to know which data is transmitted in the resource provided by the grant in Step </w:t>
      </w:r>
      <w:r w:rsidRPr="00C0722E">
        <w:rPr>
          <w:rFonts w:cs="Arial"/>
        </w:rPr>
        <w:fldChar w:fldCharType="begin"/>
      </w:r>
      <w:r w:rsidRPr="00C0722E">
        <w:rPr>
          <w:rFonts w:cs="Arial"/>
        </w:rPr>
        <w:instrText xml:space="preserve"> REF _Ref20493331 \r \h  \* MERGEFORMAT </w:instrText>
      </w:r>
      <w:r w:rsidRPr="00C0722E">
        <w:rPr>
          <w:rFonts w:cs="Arial"/>
        </w:rPr>
      </w:r>
      <w:r w:rsidRPr="00C0722E">
        <w:rPr>
          <w:rFonts w:cs="Arial"/>
        </w:rPr>
        <w:fldChar w:fldCharType="separate"/>
      </w:r>
      <w:r>
        <w:rPr>
          <w:rFonts w:cs="Arial"/>
        </w:rPr>
        <w:t>7</w:t>
      </w:r>
      <w:r w:rsidRPr="00C0722E">
        <w:rPr>
          <w:rFonts w:cs="Arial"/>
        </w:rPr>
        <w:fldChar w:fldCharType="end"/>
      </w:r>
      <w:r w:rsidRPr="00C0722E">
        <w:rPr>
          <w:rFonts w:cs="Arial"/>
        </w:rPr>
        <w:t xml:space="preserve">. Otherwise, it cannot know how to dimension future allocations, how many times a TB has been transmitted, etc. </w:t>
      </w:r>
    </w:p>
    <w:p w14:paraId="3934ADFC" w14:textId="77777777" w:rsidR="00465CEC" w:rsidRPr="00C0722E" w:rsidRDefault="00465CEC" w:rsidP="00465CEC">
      <w:pPr>
        <w:pStyle w:val="Observation"/>
        <w:widowControl w:val="0"/>
        <w:overflowPunct/>
        <w:autoSpaceDE/>
        <w:autoSpaceDN/>
        <w:adjustRightInd/>
        <w:spacing w:before="240"/>
        <w:textAlignment w:val="auto"/>
        <w:rPr>
          <w:rFonts w:cs="Arial"/>
        </w:rPr>
      </w:pPr>
      <w:bookmarkStart w:id="26" w:name="_Toc20829737"/>
      <w:bookmarkStart w:id="27" w:name="_Toc23949559"/>
      <w:r w:rsidRPr="00C0722E">
        <w:rPr>
          <w:rFonts w:cs="Arial"/>
        </w:rPr>
        <w:t xml:space="preserve">UE and </w:t>
      </w:r>
      <w:proofErr w:type="spellStart"/>
      <w:r w:rsidRPr="00C0722E">
        <w:rPr>
          <w:rFonts w:cs="Arial"/>
        </w:rPr>
        <w:t>gNB</w:t>
      </w:r>
      <w:proofErr w:type="spellEnd"/>
      <w:r w:rsidRPr="00C0722E">
        <w:rPr>
          <w:rFonts w:cs="Arial"/>
        </w:rPr>
        <w:t xml:space="preserve"> must have common understanding of which TB is transmitted in each </w:t>
      </w:r>
      <w:r w:rsidRPr="00C0722E">
        <w:rPr>
          <w:rFonts w:cs="Arial"/>
        </w:rPr>
        <w:lastRenderedPageBreak/>
        <w:t>grant.</w:t>
      </w:r>
      <w:bookmarkEnd w:id="26"/>
      <w:bookmarkEnd w:id="27"/>
    </w:p>
    <w:p w14:paraId="35037843" w14:textId="77777777" w:rsidR="00465CEC" w:rsidRPr="00C0722E" w:rsidRDefault="00465CEC" w:rsidP="00465CEC">
      <w:pPr>
        <w:rPr>
          <w:rFonts w:cs="Arial"/>
        </w:rPr>
      </w:pPr>
      <w:r w:rsidRPr="00C0722E">
        <w:rPr>
          <w:rFonts w:cs="Arial"/>
        </w:rPr>
        <w:t xml:space="preserve">Note that a simple binary flag indicating ‘new transmission’ or ‘retransmission’ is necessary but not </w:t>
      </w:r>
      <w:proofErr w:type="gramStart"/>
      <w:r w:rsidRPr="00C0722E">
        <w:rPr>
          <w:rFonts w:cs="Arial"/>
        </w:rPr>
        <w:t>sufficient</w:t>
      </w:r>
      <w:proofErr w:type="gramEnd"/>
      <w:r w:rsidRPr="00C0722E">
        <w:rPr>
          <w:rFonts w:cs="Arial"/>
        </w:rPr>
        <w:t xml:space="preserve"> unless Mode 1 is restricted to using a single grant at the time. In our view, the most reasonable thing is to reuse HARQ process ID and NDI fields for this purpose.</w:t>
      </w:r>
    </w:p>
    <w:p w14:paraId="61296267" w14:textId="77777777" w:rsidR="00465CEC" w:rsidRPr="00C0722E" w:rsidRDefault="00465CEC" w:rsidP="00465CEC">
      <w:pPr>
        <w:spacing w:before="240"/>
        <w:rPr>
          <w:rFonts w:cs="Arial"/>
        </w:rPr>
      </w:pPr>
      <w:r w:rsidRPr="00C0722E">
        <w:rPr>
          <w:rFonts w:cs="Arial"/>
        </w:rPr>
        <w:t xml:space="preserve">Note also that this requirement is for both dynamic and configured grants, as additional </w:t>
      </w:r>
      <w:proofErr w:type="spellStart"/>
      <w:r w:rsidRPr="00C0722E">
        <w:rPr>
          <w:rFonts w:cs="Arial"/>
        </w:rPr>
        <w:t>gNB</w:t>
      </w:r>
      <w:proofErr w:type="spellEnd"/>
      <w:r w:rsidRPr="00C0722E">
        <w:rPr>
          <w:rFonts w:cs="Arial"/>
        </w:rPr>
        <w:t xml:space="preserve"> scheduled retransmissions will always use dynamic grants. That is, a dynamic grant must be able to identify the configured grant for which it is providing an additional retransmission resource.</w:t>
      </w:r>
    </w:p>
    <w:p w14:paraId="0BB0EEE0" w14:textId="77777777" w:rsidR="00465CEC" w:rsidRPr="00C0722E" w:rsidRDefault="00465CEC" w:rsidP="00465CEC">
      <w:pPr>
        <w:pStyle w:val="Proposal"/>
        <w:widowControl w:val="0"/>
        <w:overflowPunct/>
        <w:autoSpaceDE/>
        <w:autoSpaceDN/>
        <w:adjustRightInd/>
        <w:spacing w:before="240"/>
        <w:textAlignment w:val="auto"/>
        <w:rPr>
          <w:rFonts w:cs="Arial"/>
        </w:rPr>
      </w:pPr>
      <w:bookmarkStart w:id="28" w:name="_Ref20494824"/>
      <w:bookmarkStart w:id="29" w:name="_Toc20863432"/>
      <w:bookmarkStart w:id="30" w:name="_Toc21005083"/>
      <w:bookmarkStart w:id="31" w:name="_Toc21006212"/>
      <w:bookmarkStart w:id="32" w:name="_Toc23949268"/>
      <w:bookmarkStart w:id="33" w:name="_Toc23949573"/>
      <w:r w:rsidRPr="00C0722E">
        <w:rPr>
          <w:rFonts w:cs="Arial"/>
        </w:rPr>
        <w:t>Dynamic and configured grants are associated with a HARQ process ID.</w:t>
      </w:r>
      <w:bookmarkEnd w:id="28"/>
      <w:bookmarkEnd w:id="29"/>
      <w:bookmarkEnd w:id="30"/>
      <w:bookmarkEnd w:id="31"/>
      <w:bookmarkEnd w:id="32"/>
      <w:bookmarkEnd w:id="33"/>
      <w:r w:rsidRPr="00C0722E">
        <w:rPr>
          <w:rFonts w:cs="Arial"/>
        </w:rPr>
        <w:t xml:space="preserve"> </w:t>
      </w:r>
    </w:p>
    <w:p w14:paraId="1DC8B89B" w14:textId="77777777" w:rsidR="00465CEC" w:rsidRPr="00C0722E" w:rsidRDefault="00465CEC" w:rsidP="00465CEC">
      <w:pPr>
        <w:pStyle w:val="Proposal"/>
        <w:widowControl w:val="0"/>
        <w:overflowPunct/>
        <w:autoSpaceDE/>
        <w:autoSpaceDN/>
        <w:adjustRightInd/>
        <w:textAlignment w:val="auto"/>
        <w:rPr>
          <w:rFonts w:cs="Arial"/>
        </w:rPr>
      </w:pPr>
      <w:bookmarkStart w:id="34" w:name="_Ref20494831"/>
      <w:bookmarkStart w:id="35" w:name="_Toc20863433"/>
      <w:bookmarkStart w:id="36" w:name="_Toc21005084"/>
      <w:bookmarkStart w:id="37" w:name="_Toc21006213"/>
      <w:bookmarkStart w:id="38" w:name="_Toc23949269"/>
      <w:bookmarkStart w:id="39" w:name="_Toc23949574"/>
      <w:r w:rsidRPr="00C0722E">
        <w:rPr>
          <w:rFonts w:cs="Arial"/>
        </w:rPr>
        <w:t>DCI for a dynamic grant carries an NDI flag.</w:t>
      </w:r>
      <w:bookmarkEnd w:id="34"/>
      <w:bookmarkEnd w:id="35"/>
      <w:bookmarkEnd w:id="36"/>
      <w:bookmarkEnd w:id="37"/>
      <w:bookmarkEnd w:id="38"/>
      <w:bookmarkEnd w:id="39"/>
      <w:r>
        <w:rPr>
          <w:rFonts w:cs="Arial"/>
        </w:rPr>
        <w:t xml:space="preserve"> </w:t>
      </w:r>
    </w:p>
    <w:p w14:paraId="0B8B8B1D" w14:textId="0EB613D5" w:rsidR="001F7DFA" w:rsidRPr="00ED25A4" w:rsidRDefault="001F7DFA" w:rsidP="00ED25A4">
      <w:pPr>
        <w:rPr>
          <w:rFonts w:cs="Arial"/>
        </w:rPr>
      </w:pPr>
    </w:p>
    <w:p w14:paraId="043A4D97" w14:textId="17E5546D" w:rsidR="00B06F7C" w:rsidRDefault="00B06F7C" w:rsidP="00B06F7C">
      <w:pPr>
        <w:pStyle w:val="Heading2"/>
      </w:pPr>
      <w:r>
        <w:t xml:space="preserve">HARQ feedback in groupcast </w:t>
      </w:r>
      <w:proofErr w:type="spellStart"/>
      <w:r>
        <w:t>sidelink</w:t>
      </w:r>
      <w:proofErr w:type="spellEnd"/>
    </w:p>
    <w:p w14:paraId="3010BCF3" w14:textId="77777777" w:rsidR="00B06F7C" w:rsidRDefault="00B06F7C" w:rsidP="00B06F7C">
      <w:pPr>
        <w:rPr>
          <w:rFonts w:eastAsia="Arial" w:cs="Arial"/>
        </w:rPr>
      </w:pPr>
      <w:bookmarkStart w:id="40" w:name="_Toc7391388"/>
      <w:bookmarkStart w:id="41" w:name="_Toc7682475"/>
      <w:r>
        <w:rPr>
          <w:rFonts w:eastAsia="Arial" w:cs="Arial"/>
        </w:rPr>
        <w:t xml:space="preserve">Since it has been agreed to let </w:t>
      </w:r>
      <w:r w:rsidRPr="0057144E">
        <w:rPr>
          <w:rFonts w:eastAsia="Arial" w:cs="Arial"/>
          <w:lang w:val="en-US"/>
        </w:rPr>
        <w:t xml:space="preserve">each receiver UE </w:t>
      </w:r>
      <w:r>
        <w:rPr>
          <w:rFonts w:eastAsia="Arial" w:cs="Arial"/>
          <w:lang w:val="en-US"/>
        </w:rPr>
        <w:t>use</w:t>
      </w:r>
      <w:r w:rsidRPr="0057144E">
        <w:rPr>
          <w:rFonts w:eastAsia="Arial" w:cs="Arial"/>
          <w:lang w:val="en-US"/>
        </w:rPr>
        <w:t xml:space="preserve"> a separate PSFCH for HARQ ACK/NACK</w:t>
      </w:r>
      <w:r>
        <w:rPr>
          <w:rFonts w:eastAsia="Arial" w:cs="Arial"/>
          <w:lang w:val="en-US"/>
        </w:rPr>
        <w:t xml:space="preserve"> for option 2, we need to further study how to </w:t>
      </w:r>
      <w:r w:rsidRPr="00FF529F">
        <w:rPr>
          <w:rFonts w:eastAsia="Arial" w:cs="Arial"/>
          <w:lang w:val="en-US"/>
        </w:rPr>
        <w:t>distinguish each RX UE in a grou</w:t>
      </w:r>
      <w:r>
        <w:rPr>
          <w:rFonts w:eastAsia="Arial" w:cs="Arial"/>
          <w:lang w:val="en-US"/>
        </w:rPr>
        <w:t xml:space="preserve">p. </w:t>
      </w:r>
      <w:r>
        <w:rPr>
          <w:rFonts w:eastAsia="Arial"/>
        </w:rPr>
        <w:t>In the meanwhile, we notice that it</w:t>
      </w:r>
      <w:r w:rsidRPr="003B0EF6">
        <w:rPr>
          <w:rFonts w:eastAsia="Arial"/>
        </w:rPr>
        <w:t xml:space="preserve"> has been agreed that RX UE will use implicit mechanism to determine frequency and/or code domain resource of PSFCH</w:t>
      </w:r>
      <w:r>
        <w:rPr>
          <w:rFonts w:eastAsia="Arial"/>
        </w:rPr>
        <w:t>. This implies explicit interaction or PSFCH resource allocation is not necessary</w:t>
      </w:r>
      <w:r w:rsidRPr="003B0EF6">
        <w:rPr>
          <w:rFonts w:eastAsia="Arial"/>
        </w:rPr>
        <w:t>. More details on the implicit allocation of PSFCH resources can be found in the RAN 1 contribution on HARQ procedures [3].</w:t>
      </w:r>
      <w:r>
        <w:rPr>
          <w:rFonts w:eastAsia="Arial"/>
        </w:rPr>
        <w:t xml:space="preserve"> Besides</w:t>
      </w:r>
      <w:r w:rsidRPr="003B0EF6">
        <w:rPr>
          <w:rFonts w:eastAsia="Arial"/>
        </w:rPr>
        <w:t xml:space="preserve">, with limited PSFCH resource but possibly unlimited number of RX UEs, it is impossible to guarantee zero collision and it will introduce extra signalling for UE ID exchange and PSFCH resource assigning. </w:t>
      </w:r>
      <w:r>
        <w:rPr>
          <w:rFonts w:eastAsia="Arial"/>
        </w:rPr>
        <w:t xml:space="preserve">In our view, the benefit of letting TX UE know RX UE ID is not clear. </w:t>
      </w:r>
      <w:r>
        <w:rPr>
          <w:rFonts w:eastAsia="Arial" w:cs="Arial"/>
        </w:rPr>
        <w:t xml:space="preserve">RAN2 will rely on RAN1’s decision on the UE id awareness question put forth in the previous RAN2 response </w:t>
      </w:r>
      <w:r>
        <w:rPr>
          <w:rFonts w:eastAsia="Arial" w:cs="Arial"/>
        </w:rPr>
        <w:fldChar w:fldCharType="begin"/>
      </w:r>
      <w:r>
        <w:rPr>
          <w:rFonts w:eastAsia="Arial" w:cs="Arial"/>
        </w:rPr>
        <w:instrText xml:space="preserve"> REF _Ref16085119 \r \h </w:instrText>
      </w:r>
      <w:r>
        <w:rPr>
          <w:rFonts w:eastAsia="Arial" w:cs="Arial"/>
        </w:rPr>
      </w:r>
      <w:r>
        <w:rPr>
          <w:rFonts w:eastAsia="Arial" w:cs="Arial"/>
        </w:rPr>
        <w:fldChar w:fldCharType="separate"/>
      </w:r>
      <w:r>
        <w:rPr>
          <w:rFonts w:eastAsia="Arial" w:cs="Arial"/>
        </w:rPr>
        <w:t>[2]</w:t>
      </w:r>
      <w:r>
        <w:rPr>
          <w:rFonts w:eastAsia="Arial" w:cs="Arial"/>
        </w:rPr>
        <w:fldChar w:fldCharType="end"/>
      </w:r>
      <w:r>
        <w:rPr>
          <w:rFonts w:eastAsia="Arial" w:cs="Arial"/>
        </w:rPr>
        <w:t xml:space="preserve"> to RAN1 LS.  </w:t>
      </w:r>
    </w:p>
    <w:p w14:paraId="0D2D961D" w14:textId="77777777" w:rsidR="00B06F7C" w:rsidRPr="003B0EF6" w:rsidRDefault="00B06F7C" w:rsidP="00B06F7C">
      <w:pPr>
        <w:rPr>
          <w:rFonts w:eastAsia="Arial"/>
        </w:rPr>
      </w:pPr>
    </w:p>
    <w:p w14:paraId="28E4963A" w14:textId="77777777" w:rsidR="00B06F7C" w:rsidRDefault="00B06F7C" w:rsidP="00B06F7C">
      <w:pPr>
        <w:pStyle w:val="Observation"/>
        <w:rPr>
          <w:rFonts w:eastAsia="Arial"/>
        </w:rPr>
      </w:pPr>
      <w:bookmarkStart w:id="42" w:name="_Toc16773207"/>
      <w:bookmarkStart w:id="43" w:name="_Toc23949560"/>
      <w:r w:rsidRPr="003B0EF6">
        <w:rPr>
          <w:rFonts w:eastAsia="Arial"/>
        </w:rPr>
        <w:t>RX UE can adopt algorithm selecting PSFCH resource</w:t>
      </w:r>
      <w:r>
        <w:rPr>
          <w:rFonts w:eastAsia="Arial"/>
        </w:rPr>
        <w:t xml:space="preserve"> implicitly</w:t>
      </w:r>
      <w:r w:rsidRPr="003B0EF6">
        <w:rPr>
          <w:rFonts w:eastAsia="Arial"/>
        </w:rPr>
        <w:t xml:space="preserve"> </w:t>
      </w:r>
      <w:proofErr w:type="gramStart"/>
      <w:r w:rsidRPr="003B0EF6">
        <w:rPr>
          <w:rFonts w:eastAsia="Arial"/>
        </w:rPr>
        <w:t>taking into account</w:t>
      </w:r>
      <w:proofErr w:type="gramEnd"/>
      <w:r w:rsidRPr="003B0EF6">
        <w:rPr>
          <w:rFonts w:eastAsia="Arial"/>
        </w:rPr>
        <w:t xml:space="preserve"> its RX UE ID to avoid collision via randomness.</w:t>
      </w:r>
      <w:bookmarkEnd w:id="42"/>
      <w:bookmarkEnd w:id="43"/>
      <w:r w:rsidRPr="003B0EF6">
        <w:rPr>
          <w:rFonts w:eastAsia="Arial"/>
        </w:rPr>
        <w:t xml:space="preserve"> </w:t>
      </w:r>
    </w:p>
    <w:p w14:paraId="6463F1AE" w14:textId="77777777" w:rsidR="00B06F7C" w:rsidRDefault="00B06F7C" w:rsidP="00B06F7C">
      <w:pPr>
        <w:pStyle w:val="Observation"/>
        <w:rPr>
          <w:rFonts w:eastAsia="Arial"/>
        </w:rPr>
      </w:pPr>
      <w:bookmarkStart w:id="44" w:name="_Toc16773208"/>
      <w:bookmarkStart w:id="45" w:name="_Toc23949561"/>
      <w:r>
        <w:rPr>
          <w:rFonts w:eastAsia="Arial"/>
        </w:rPr>
        <w:t>For groupcast HARQ, the benefit of letting TX UE know RX UE ID(s) is not clear.</w:t>
      </w:r>
      <w:bookmarkEnd w:id="44"/>
      <w:bookmarkEnd w:id="45"/>
    </w:p>
    <w:p w14:paraId="693B8C68" w14:textId="77777777" w:rsidR="00B06F7C" w:rsidRPr="003B0EF6" w:rsidRDefault="00B06F7C" w:rsidP="00B06F7C">
      <w:pPr>
        <w:pStyle w:val="Observation"/>
        <w:numPr>
          <w:ilvl w:val="0"/>
          <w:numId w:val="0"/>
        </w:numPr>
        <w:ind w:left="1701" w:hanging="1701"/>
        <w:rPr>
          <w:rFonts w:eastAsia="Arial"/>
        </w:rPr>
      </w:pPr>
    </w:p>
    <w:p w14:paraId="2C8656B6" w14:textId="079B3053" w:rsidR="00B06F7C" w:rsidRPr="0014051D" w:rsidRDefault="00B06F7C" w:rsidP="00B06F7C">
      <w:pPr>
        <w:rPr>
          <w:rFonts w:eastAsia="Arial" w:cs="Arial"/>
        </w:rPr>
      </w:pPr>
      <w:r w:rsidRPr="003B0EF6">
        <w:rPr>
          <w:rFonts w:eastAsia="Arial"/>
        </w:rPr>
        <w:t xml:space="preserve">Considering RX UE itself can select PSFCH resources using its ID as input to avoid collision per randomness, letting a subset of RX UEs share a PSFCH as described in Proposal </w:t>
      </w:r>
      <w:r>
        <w:rPr>
          <w:rFonts w:eastAsia="Arial"/>
        </w:rPr>
        <w:t>1</w:t>
      </w:r>
      <w:r w:rsidR="00455430">
        <w:rPr>
          <w:rFonts w:eastAsia="Arial"/>
        </w:rPr>
        <w:t>1</w:t>
      </w:r>
      <w:r w:rsidRPr="003B0EF6">
        <w:rPr>
          <w:rFonts w:eastAsia="Arial"/>
        </w:rPr>
        <w:t xml:space="preserve"> and Proposal </w:t>
      </w:r>
      <w:r w:rsidR="00455430">
        <w:rPr>
          <w:rFonts w:eastAsia="Arial"/>
        </w:rPr>
        <w:t>1</w:t>
      </w:r>
      <w:r>
        <w:rPr>
          <w:rFonts w:eastAsia="Arial"/>
        </w:rPr>
        <w:t>2</w:t>
      </w:r>
      <w:r w:rsidRPr="003B0EF6">
        <w:rPr>
          <w:rFonts w:eastAsia="Arial"/>
        </w:rPr>
        <w:t xml:space="preserve"> can further reduce collisions.</w:t>
      </w:r>
    </w:p>
    <w:p w14:paraId="38B9514B" w14:textId="77777777" w:rsidR="00B06F7C" w:rsidRPr="00911EEE" w:rsidRDefault="00B06F7C" w:rsidP="00B06F7C">
      <w:pPr>
        <w:rPr>
          <w:rFonts w:cs="Arial"/>
        </w:rPr>
      </w:pPr>
      <w:r w:rsidRPr="0062150D">
        <w:rPr>
          <w:rFonts w:eastAsia="Arial" w:cs="Arial"/>
        </w:rPr>
        <w:t>From RAN1#96bis, there are some FFS points on how groupcast receivers share PSFCH for both option 1 and option 2.</w:t>
      </w:r>
      <w:r>
        <w:rPr>
          <w:rFonts w:cs="Arial"/>
        </w:rPr>
        <w:t xml:space="preserve"> We</w:t>
      </w:r>
      <w:r w:rsidRPr="00573CD2">
        <w:rPr>
          <w:rFonts w:cs="Arial"/>
        </w:rPr>
        <w:t xml:space="preserve"> think it can be beneficial that a subset of </w:t>
      </w:r>
      <w:r>
        <w:rPr>
          <w:rFonts w:cs="Arial"/>
        </w:rPr>
        <w:t>UEs</w:t>
      </w:r>
      <w:r w:rsidRPr="00573CD2">
        <w:rPr>
          <w:rFonts w:cs="Arial"/>
        </w:rPr>
        <w:t xml:space="preserve"> share one PSFCH resource for ACK/NACK. Selection of the subset depends on their locations, i.e., their respective</w:t>
      </w:r>
      <w:r w:rsidRPr="00573CD2">
        <w:rPr>
          <w:rFonts w:cs="Arial"/>
          <w:lang w:eastAsia="ja-JP"/>
        </w:rPr>
        <w:t xml:space="preserve"> </w:t>
      </w:r>
      <w:r w:rsidRPr="00573CD2">
        <w:rPr>
          <w:rFonts w:cs="Arial"/>
        </w:rPr>
        <w:t xml:space="preserve">Tx-Rx distances. For example, in </w:t>
      </w:r>
      <w:r w:rsidRPr="00911EEE">
        <w:rPr>
          <w:rFonts w:cs="Arial"/>
          <w:b/>
          <w:bCs/>
        </w:rPr>
        <w:fldChar w:fldCharType="begin"/>
      </w:r>
      <w:r w:rsidRPr="00573CD2">
        <w:rPr>
          <w:rFonts w:cs="Arial"/>
        </w:rPr>
        <w:instrText xml:space="preserve"> REF _Ref4443608 \h  \* MERGEFORMAT </w:instrText>
      </w:r>
      <w:r w:rsidRPr="00911EEE">
        <w:rPr>
          <w:rFonts w:cs="Arial"/>
          <w:b/>
          <w:bCs/>
        </w:rPr>
      </w:r>
      <w:r w:rsidRPr="00911EEE">
        <w:rPr>
          <w:rFonts w:cs="Arial"/>
          <w:b/>
          <w:bCs/>
        </w:rPr>
        <w:fldChar w:fldCharType="separate"/>
      </w:r>
      <w:r w:rsidRPr="00573CD2">
        <w:rPr>
          <w:rFonts w:cs="Arial"/>
        </w:rPr>
        <w:t>Figure 2</w:t>
      </w:r>
      <w:r w:rsidRPr="00911EEE">
        <w:rPr>
          <w:rFonts w:cs="Arial"/>
          <w:b/>
          <w:bCs/>
        </w:rPr>
        <w:fldChar w:fldCharType="end"/>
      </w:r>
      <w:r w:rsidRPr="00573CD2">
        <w:rPr>
          <w:rFonts w:cs="Arial"/>
        </w:rPr>
        <w:t>, the UEs belonging to Range d1 send NACK on PSFCH resource 1; the UEs belong to Range d2 send NACK on PSFCH resource 2; the UEs belong to Range d3 send NACK on PSFCH</w:t>
      </w:r>
      <w:r>
        <w:rPr>
          <w:rFonts w:cs="Arial"/>
        </w:rPr>
        <w:t xml:space="preserve"> </w:t>
      </w:r>
      <w:r w:rsidRPr="00573CD2">
        <w:rPr>
          <w:rFonts w:cs="Arial"/>
        </w:rPr>
        <w:t xml:space="preserve">resource 3. </w:t>
      </w:r>
      <w:r w:rsidRPr="00911EEE">
        <w:rPr>
          <w:rFonts w:cs="Arial"/>
        </w:rPr>
        <w:t>This functionality can be particularly useful for outer-loop link adaptation of SL groupcast</w:t>
      </w:r>
      <w:bookmarkEnd w:id="40"/>
      <w:r w:rsidRPr="00911EEE">
        <w:rPr>
          <w:rFonts w:cs="Arial"/>
          <w:lang w:eastAsia="ja-JP"/>
        </w:rPr>
        <w:t>.</w:t>
      </w:r>
      <w:bookmarkEnd w:id="41"/>
    </w:p>
    <w:p w14:paraId="38708788" w14:textId="77777777" w:rsidR="00B06F7C" w:rsidRDefault="00B06F7C" w:rsidP="00B06F7C">
      <w:pPr>
        <w:rPr>
          <w:lang w:eastAsia="ja-JP"/>
        </w:rPr>
      </w:pPr>
      <w:bookmarkStart w:id="46" w:name="_Toc7391389"/>
      <w:bookmarkStart w:id="47" w:name="_Toc7682476"/>
      <w:r>
        <w:rPr>
          <w:b/>
          <w:bCs/>
          <w:noProof/>
          <w:lang w:eastAsia="ja-JP"/>
        </w:rPr>
        <w:drawing>
          <wp:inline distT="0" distB="0" distL="0" distR="0" wp14:anchorId="471BDF36" wp14:editId="134EE793">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bookmarkEnd w:id="46"/>
      <w:bookmarkEnd w:id="47"/>
    </w:p>
    <w:p w14:paraId="500C4BB7" w14:textId="3E00C109" w:rsidR="00B06F7C" w:rsidRPr="00573CD2" w:rsidRDefault="00B06F7C" w:rsidP="00B06F7C">
      <w:pPr>
        <w:pStyle w:val="Caption"/>
      </w:pPr>
      <w:r w:rsidRPr="00573CD2">
        <w:t xml:space="preserve">Figure </w:t>
      </w:r>
      <w:r>
        <w:rPr>
          <w:noProof/>
        </w:rPr>
        <w:fldChar w:fldCharType="begin"/>
      </w:r>
      <w:r w:rsidRPr="00573CD2">
        <w:rPr>
          <w:noProof/>
        </w:rPr>
        <w:instrText xml:space="preserve"> SEQ Figure \* ARABIC </w:instrText>
      </w:r>
      <w:r>
        <w:rPr>
          <w:noProof/>
        </w:rPr>
        <w:fldChar w:fldCharType="separate"/>
      </w:r>
      <w:r w:rsidR="00534568">
        <w:rPr>
          <w:noProof/>
        </w:rPr>
        <w:t>4</w:t>
      </w:r>
      <w:r>
        <w:rPr>
          <w:noProof/>
        </w:rPr>
        <w:fldChar w:fldCharType="end"/>
      </w:r>
      <w:r w:rsidRPr="00573CD2">
        <w:t xml:space="preserve">. A subset of Rx UEs </w:t>
      </w:r>
      <w:proofErr w:type="gramStart"/>
      <w:r w:rsidRPr="00573CD2">
        <w:t>share</w:t>
      </w:r>
      <w:proofErr w:type="gramEnd"/>
      <w:r w:rsidRPr="00573CD2">
        <w:t xml:space="preserve"> one PSFCH resource, where the subset selection depends on Rx UEs’ locations</w:t>
      </w:r>
    </w:p>
    <w:p w14:paraId="02C1871F" w14:textId="77777777" w:rsidR="00B06F7C" w:rsidRPr="009E2D87" w:rsidRDefault="00B06F7C" w:rsidP="00B06F7C">
      <w:pPr>
        <w:pStyle w:val="Observation"/>
        <w:overflowPunct/>
        <w:autoSpaceDE/>
        <w:autoSpaceDN/>
        <w:adjustRightInd/>
        <w:spacing w:line="259" w:lineRule="auto"/>
        <w:jc w:val="left"/>
        <w:textAlignment w:val="auto"/>
      </w:pPr>
      <w:bookmarkStart w:id="48" w:name="_Toc7391374"/>
      <w:bookmarkStart w:id="49" w:name="_Toc7682447"/>
      <w:bookmarkStart w:id="50" w:name="_Toc7724848"/>
      <w:bookmarkStart w:id="51" w:name="_Toc16773209"/>
      <w:bookmarkStart w:id="52" w:name="_Toc23949562"/>
      <w:r w:rsidRPr="00573CD2">
        <w:rPr>
          <w:rFonts w:eastAsia="Arial" w:cs="Arial"/>
        </w:rPr>
        <w:lastRenderedPageBreak/>
        <w:t xml:space="preserve">For some scenarios, it can be beneficial to divide groupcast Rx UEs into subsets depending on their distances to the Tx UE. </w:t>
      </w:r>
      <w:r w:rsidRPr="009E2D87">
        <w:rPr>
          <w:rFonts w:eastAsia="Arial" w:cs="Arial"/>
        </w:rPr>
        <w:t>The different subsets use different PSFCH resources for sending HARQ feedbacks.</w:t>
      </w:r>
      <w:bookmarkEnd w:id="48"/>
      <w:bookmarkEnd w:id="49"/>
      <w:bookmarkEnd w:id="50"/>
      <w:bookmarkEnd w:id="51"/>
      <w:bookmarkEnd w:id="52"/>
    </w:p>
    <w:p w14:paraId="5569695B" w14:textId="3DFA3E80" w:rsidR="00B06F7C" w:rsidRDefault="00B06F7C" w:rsidP="00B06F7C">
      <w:pPr>
        <w:rPr>
          <w:rFonts w:eastAsia="Arial" w:cs="Arial"/>
        </w:rPr>
      </w:pPr>
      <w:r w:rsidRPr="009E2D87">
        <w:rPr>
          <w:rFonts w:eastAsia="Arial" w:cs="Arial"/>
        </w:rPr>
        <w:t>As analysed above, it is useful to support a subset of receiver UEs share a PSFCH for both option 1. It can be that, either only the subset of UEs send HARQ feedback, or more than one subset of UEs transmit HARQ feedback on different PSFCH resources.</w:t>
      </w:r>
    </w:p>
    <w:p w14:paraId="6C3F9248" w14:textId="77777777" w:rsidR="00EB7C88" w:rsidRDefault="00EB7C88" w:rsidP="00EB7C88">
      <w:pPr>
        <w:spacing w:after="0"/>
        <w:rPr>
          <w:rFonts w:eastAsia="Arial" w:cs="Arial"/>
        </w:rPr>
      </w:pPr>
    </w:p>
    <w:p w14:paraId="5DDBBD47" w14:textId="77777777" w:rsidR="00EB7C88" w:rsidRPr="009E2D87" w:rsidRDefault="00EB7C88" w:rsidP="00ED25A4">
      <w:pPr>
        <w:pStyle w:val="Proposal"/>
        <w:tabs>
          <w:tab w:val="num" w:pos="1701"/>
        </w:tabs>
        <w:overflowPunct/>
        <w:autoSpaceDE/>
        <w:autoSpaceDN/>
        <w:adjustRightInd/>
        <w:spacing w:line="259" w:lineRule="auto"/>
        <w:textAlignment w:val="auto"/>
        <w:rPr>
          <w:rFonts w:eastAsia="Arial" w:cs="Arial"/>
        </w:rPr>
      </w:pPr>
      <w:bookmarkStart w:id="53" w:name="_Toc21005086"/>
      <w:bookmarkStart w:id="54" w:name="_Toc21006215"/>
      <w:bookmarkStart w:id="55" w:name="_Toc23949270"/>
      <w:bookmarkStart w:id="56" w:name="_Toc23949575"/>
      <w:r w:rsidRPr="009E2D87">
        <w:rPr>
          <w:rFonts w:eastAsia="Arial" w:cs="Arial"/>
        </w:rPr>
        <w:t>For groupcast option 1, support that a subset of the receiver UEs share a PSFCH.</w:t>
      </w:r>
      <w:bookmarkEnd w:id="53"/>
      <w:bookmarkEnd w:id="54"/>
      <w:bookmarkEnd w:id="55"/>
      <w:bookmarkEnd w:id="56"/>
      <w:r w:rsidRPr="009E2D87">
        <w:rPr>
          <w:rFonts w:eastAsia="Arial" w:cs="Arial"/>
        </w:rPr>
        <w:t xml:space="preserve"> </w:t>
      </w:r>
    </w:p>
    <w:p w14:paraId="6E26938D" w14:textId="7B018BFB" w:rsidR="003B7A50" w:rsidRDefault="003B7A50" w:rsidP="003B7A50">
      <w:pPr>
        <w:rPr>
          <w:rFonts w:eastAsia="Arial" w:cs="Arial"/>
        </w:rPr>
      </w:pPr>
      <w:r w:rsidRPr="003B7A50">
        <w:rPr>
          <w:rFonts w:eastAsia="Arial" w:cs="Arial"/>
        </w:rPr>
        <w:t xml:space="preserve"> </w:t>
      </w:r>
      <w:r>
        <w:rPr>
          <w:rFonts w:eastAsia="Arial" w:cs="Arial"/>
        </w:rPr>
        <w:t>In case of groupcast HARQ feedback option 2, it may happen that the available PSFCH resources are not enough to accommodate feedback from all the Rx UEs. Therefore, to support the combination of FDM and CDM</w:t>
      </w:r>
      <w:r w:rsidR="00825886">
        <w:rPr>
          <w:rFonts w:eastAsia="Arial" w:cs="Arial"/>
        </w:rPr>
        <w:t xml:space="preserve"> as agreed by RAN1</w:t>
      </w:r>
      <w:r>
        <w:rPr>
          <w:rFonts w:eastAsia="Arial" w:cs="Arial"/>
        </w:rPr>
        <w:t xml:space="preserve">, we believe that the information on communication range and UEs’ position in SCI can be utilized. For instance, Rx UEs are grouped with respect to their positions and the PSFCH transmission from different groups are </w:t>
      </w:r>
      <w:proofErr w:type="spellStart"/>
      <w:r>
        <w:rPr>
          <w:rFonts w:eastAsia="Arial" w:cs="Arial"/>
        </w:rPr>
        <w:t>FDM’ed</w:t>
      </w:r>
      <w:proofErr w:type="spellEnd"/>
      <w:r>
        <w:rPr>
          <w:rFonts w:eastAsia="Arial" w:cs="Arial"/>
        </w:rPr>
        <w:t xml:space="preserve"> while feedback from UEs within the same group is </w:t>
      </w:r>
      <w:proofErr w:type="spellStart"/>
      <w:r>
        <w:rPr>
          <w:rFonts w:eastAsia="Arial" w:cs="Arial"/>
        </w:rPr>
        <w:t>CDM’ed</w:t>
      </w:r>
      <w:proofErr w:type="spellEnd"/>
      <w:r>
        <w:rPr>
          <w:rFonts w:eastAsia="Arial" w:cs="Arial"/>
        </w:rPr>
        <w:t xml:space="preserve">. </w:t>
      </w:r>
    </w:p>
    <w:p w14:paraId="7DFDB583" w14:textId="6BE44897" w:rsidR="00891E37" w:rsidRPr="00EB0AE6" w:rsidRDefault="003B7A50" w:rsidP="00EB0AE6">
      <w:pPr>
        <w:pStyle w:val="Proposal"/>
        <w:rPr>
          <w:rFonts w:eastAsia="Arial"/>
        </w:rPr>
      </w:pPr>
      <w:bookmarkStart w:id="57" w:name="_Toc21005087"/>
      <w:bookmarkStart w:id="58" w:name="_Toc21006216"/>
      <w:bookmarkStart w:id="59" w:name="_Toc23949271"/>
      <w:bookmarkStart w:id="60" w:name="_Toc23949576"/>
      <w:r>
        <w:rPr>
          <w:rFonts w:eastAsia="Arial"/>
        </w:rPr>
        <w:t xml:space="preserve">For large groups, RX UEs are grouped with respect to the distance from TX UEs and PSFCH transmissions from different groups are </w:t>
      </w:r>
      <w:proofErr w:type="spellStart"/>
      <w:r>
        <w:rPr>
          <w:rFonts w:eastAsia="Arial"/>
        </w:rPr>
        <w:t>FDM’ed</w:t>
      </w:r>
      <w:proofErr w:type="spellEnd"/>
      <w:r>
        <w:rPr>
          <w:rFonts w:eastAsia="Arial"/>
        </w:rPr>
        <w:t xml:space="preserve"> while PSFCH transmissions from UEs within the same group are </w:t>
      </w:r>
      <w:proofErr w:type="spellStart"/>
      <w:r>
        <w:rPr>
          <w:rFonts w:eastAsia="Arial"/>
        </w:rPr>
        <w:t>CDM’ed</w:t>
      </w:r>
      <w:proofErr w:type="spellEnd"/>
      <w:r>
        <w:rPr>
          <w:rFonts w:eastAsia="Arial"/>
        </w:rPr>
        <w:t>.</w:t>
      </w:r>
      <w:bookmarkEnd w:id="57"/>
      <w:bookmarkEnd w:id="58"/>
      <w:bookmarkEnd w:id="59"/>
      <w:bookmarkEnd w:id="60"/>
      <w:r>
        <w:rPr>
          <w:rFonts w:eastAsia="Arial"/>
        </w:rPr>
        <w:t xml:space="preserve"> </w:t>
      </w:r>
    </w:p>
    <w:p w14:paraId="7914037B" w14:textId="4BD0F09C" w:rsidR="004D273C" w:rsidRDefault="00891E37" w:rsidP="00891E37">
      <w:pPr>
        <w:rPr>
          <w:rFonts w:eastAsia="Arial"/>
        </w:rPr>
      </w:pPr>
      <w:r>
        <w:rPr>
          <w:rFonts w:eastAsia="Arial"/>
        </w:rPr>
        <w:t xml:space="preserve">In addtion, since both option 1 and option 2 are supported for groupcast HARQ, there must be a way to inidate physical layer which option to be used for the current transmission.  In our understanding, groupcast option 2 can only work if </w:t>
      </w:r>
      <w:r w:rsidR="004D273C">
        <w:rPr>
          <w:rFonts w:eastAsia="Arial"/>
        </w:rPr>
        <w:t xml:space="preserve">group informtion, such as group size and group member ID, is given by upper layers. Since such group information is bounded with a specific group destination ID, L2 (e.g. MAC layer) can therefore decides whether to use groupcast option 1 or option 2 and indicate to physical layer. </w:t>
      </w:r>
    </w:p>
    <w:p w14:paraId="46531442" w14:textId="0C77BD79" w:rsidR="00891E37" w:rsidRPr="00EB0AE6" w:rsidRDefault="004D273C" w:rsidP="004D273C">
      <w:pPr>
        <w:pStyle w:val="Proposal"/>
        <w:rPr>
          <w:rFonts w:eastAsia="Arial"/>
        </w:rPr>
      </w:pPr>
      <w:bookmarkStart w:id="61" w:name="_Toc23949272"/>
      <w:bookmarkStart w:id="62" w:name="_Toc23949577"/>
      <w:r>
        <w:rPr>
          <w:rFonts w:eastAsia="Arial"/>
        </w:rPr>
        <w:t>L2 (e.g. MAC layer) determines and indicates to physical layer whether option1 or option 2 is used for groupcast HARQ.</w:t>
      </w:r>
      <w:bookmarkEnd w:id="61"/>
      <w:bookmarkEnd w:id="62"/>
    </w:p>
    <w:p w14:paraId="748B71A8" w14:textId="54196AE4" w:rsidR="00B06F7C" w:rsidRPr="00B06F7C" w:rsidRDefault="00B06F7C" w:rsidP="00ED25A4">
      <w:pPr>
        <w:pStyle w:val="Proposal"/>
        <w:numPr>
          <w:ilvl w:val="0"/>
          <w:numId w:val="0"/>
        </w:numPr>
        <w:overflowPunct/>
        <w:autoSpaceDE/>
        <w:autoSpaceDN/>
        <w:adjustRightInd/>
        <w:spacing w:line="259" w:lineRule="auto"/>
        <w:ind w:left="1701" w:hanging="1701"/>
        <w:textAlignment w:val="auto"/>
        <w:rPr>
          <w:rFonts w:eastAsia="Arial" w:cs="Arial"/>
        </w:rPr>
      </w:pPr>
    </w:p>
    <w:p w14:paraId="7E0CA1CC" w14:textId="77777777" w:rsidR="00201BEF" w:rsidRPr="007A6B98" w:rsidRDefault="00201BEF" w:rsidP="00201BEF">
      <w:pPr>
        <w:pStyle w:val="Heading1"/>
        <w:overflowPunct/>
        <w:autoSpaceDE/>
        <w:autoSpaceDN/>
        <w:adjustRightInd/>
        <w:textAlignment w:val="auto"/>
      </w:pPr>
      <w:bookmarkStart w:id="63" w:name="_Ref528871418"/>
      <w:r w:rsidRPr="007A6B98">
        <w:t>Conclusions</w:t>
      </w:r>
      <w:bookmarkEnd w:id="63"/>
    </w:p>
    <w:p w14:paraId="45A7FC5B" w14:textId="4BD95266"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made the following observations:</w:t>
      </w:r>
    </w:p>
    <w:p w14:paraId="7BBA7747" w14:textId="77777777" w:rsidR="005D72CB" w:rsidRPr="00EB0AE6" w:rsidRDefault="002D37C0" w:rsidP="00EB0AE6">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944B1A">
        <w:rPr>
          <w:rFonts w:cs="Arial"/>
          <w:b/>
        </w:rPr>
        <w:fldChar w:fldCharType="begin"/>
      </w:r>
      <w:r w:rsidRPr="00EB0AE6">
        <w:rPr>
          <w:rFonts w:cs="Arial"/>
          <w:b/>
        </w:rPr>
        <w:instrText xml:space="preserve"> TOC \n \h \z \t "Observation" \c </w:instrText>
      </w:r>
      <w:r w:rsidRPr="00944B1A">
        <w:rPr>
          <w:rFonts w:cs="Arial"/>
          <w:b/>
        </w:rPr>
        <w:fldChar w:fldCharType="separate"/>
      </w:r>
      <w:hyperlink w:anchor="_Toc23949557" w:history="1">
        <w:r w:rsidR="005D72CB" w:rsidRPr="00EB0AE6">
          <w:rPr>
            <w:rStyle w:val="Hyperlink"/>
            <w:b/>
            <w:noProof/>
          </w:rPr>
          <w:t>Observation 1</w:t>
        </w:r>
        <w:r w:rsidR="005D72CB" w:rsidRPr="00EB0AE6">
          <w:rPr>
            <w:rFonts w:asciiTheme="minorHAnsi" w:eastAsiaTheme="minorEastAsia" w:hAnsiTheme="minorHAnsi" w:cstheme="minorBidi"/>
            <w:b/>
            <w:noProof/>
            <w:sz w:val="22"/>
            <w:szCs w:val="22"/>
          </w:rPr>
          <w:tab/>
        </w:r>
        <w:r w:rsidR="005D72CB" w:rsidRPr="00EB0AE6">
          <w:rPr>
            <w:rStyle w:val="Hyperlink"/>
            <w:rFonts w:eastAsia="Arial" w:cs="Arial"/>
            <w:b/>
            <w:noProof/>
          </w:rPr>
          <w:t>The use of SL HARQ feedback should mostly depend on QoS. In addition, for Mode-2 UE, it should depend on congestion control.</w:t>
        </w:r>
      </w:hyperlink>
    </w:p>
    <w:p w14:paraId="3B7ECA77" w14:textId="77777777" w:rsidR="005D72CB" w:rsidRPr="00EB0AE6" w:rsidRDefault="00901AC0">
      <w:pPr>
        <w:pStyle w:val="TableofFigures"/>
        <w:tabs>
          <w:tab w:val="left" w:pos="1701"/>
          <w:tab w:val="right" w:leader="dot" w:pos="9629"/>
        </w:tabs>
        <w:rPr>
          <w:rFonts w:asciiTheme="minorHAnsi" w:eastAsiaTheme="minorEastAsia" w:hAnsiTheme="minorHAnsi" w:cstheme="minorBidi"/>
          <w:b/>
          <w:noProof/>
          <w:sz w:val="22"/>
          <w:szCs w:val="22"/>
        </w:rPr>
      </w:pPr>
      <w:hyperlink w:anchor="_Toc23949558" w:history="1">
        <w:r w:rsidR="005D72CB" w:rsidRPr="00EB0AE6">
          <w:rPr>
            <w:rStyle w:val="Hyperlink"/>
            <w:b/>
            <w:noProof/>
          </w:rPr>
          <w:t>Observation 2</w:t>
        </w:r>
        <w:r w:rsidR="005D72CB" w:rsidRPr="00EB0AE6">
          <w:rPr>
            <w:rFonts w:asciiTheme="minorHAnsi" w:eastAsiaTheme="minorEastAsia" w:hAnsiTheme="minorHAnsi" w:cstheme="minorBidi"/>
            <w:b/>
            <w:noProof/>
            <w:sz w:val="22"/>
            <w:szCs w:val="22"/>
          </w:rPr>
          <w:tab/>
        </w:r>
        <w:r w:rsidR="005D72CB" w:rsidRPr="00EB0AE6">
          <w:rPr>
            <w:rStyle w:val="Hyperlink"/>
            <w:rFonts w:eastAsia="Arial" w:cs="Arial"/>
            <w:b/>
            <w:noProof/>
          </w:rPr>
          <w:t>PHY HARQ feedback resources are configured per pool.</w:t>
        </w:r>
      </w:hyperlink>
    </w:p>
    <w:p w14:paraId="0A2A11D3" w14:textId="77777777" w:rsidR="005D72CB" w:rsidRPr="00EB0AE6" w:rsidRDefault="00901AC0" w:rsidP="00EB0AE6">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23949559" w:history="1">
        <w:r w:rsidR="005D72CB" w:rsidRPr="00EB0AE6">
          <w:rPr>
            <w:rStyle w:val="Hyperlink"/>
            <w:rFonts w:cs="Arial"/>
            <w:b/>
            <w:noProof/>
          </w:rPr>
          <w:t>Observation 3</w:t>
        </w:r>
        <w:r w:rsidR="005D72CB" w:rsidRPr="00EB0AE6">
          <w:rPr>
            <w:rFonts w:asciiTheme="minorHAnsi" w:eastAsiaTheme="minorEastAsia" w:hAnsiTheme="minorHAnsi" w:cstheme="minorBidi"/>
            <w:b/>
            <w:noProof/>
            <w:sz w:val="22"/>
            <w:szCs w:val="22"/>
          </w:rPr>
          <w:tab/>
        </w:r>
        <w:r w:rsidR="005D72CB" w:rsidRPr="00EB0AE6">
          <w:rPr>
            <w:rStyle w:val="Hyperlink"/>
            <w:rFonts w:cs="Arial"/>
            <w:b/>
            <w:noProof/>
          </w:rPr>
          <w:t>UE and gNB must have common understanding of which TB is transmitted in each grant.</w:t>
        </w:r>
      </w:hyperlink>
    </w:p>
    <w:p w14:paraId="0AFA6FEC" w14:textId="77777777" w:rsidR="005D72CB" w:rsidRPr="00EB0AE6" w:rsidRDefault="00901AC0" w:rsidP="00EB0AE6">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23949560" w:history="1">
        <w:r w:rsidR="005D72CB" w:rsidRPr="00EB0AE6">
          <w:rPr>
            <w:rStyle w:val="Hyperlink"/>
            <w:rFonts w:eastAsia="Arial"/>
            <w:b/>
            <w:noProof/>
          </w:rPr>
          <w:t>Observation 4</w:t>
        </w:r>
        <w:r w:rsidR="005D72CB" w:rsidRPr="00EB0AE6">
          <w:rPr>
            <w:rFonts w:asciiTheme="minorHAnsi" w:eastAsiaTheme="minorEastAsia" w:hAnsiTheme="minorHAnsi" w:cstheme="minorBidi"/>
            <w:b/>
            <w:noProof/>
            <w:sz w:val="22"/>
            <w:szCs w:val="22"/>
          </w:rPr>
          <w:tab/>
        </w:r>
        <w:r w:rsidR="005D72CB" w:rsidRPr="00EB0AE6">
          <w:rPr>
            <w:rStyle w:val="Hyperlink"/>
            <w:rFonts w:eastAsia="Arial"/>
            <w:b/>
            <w:noProof/>
          </w:rPr>
          <w:t>RX UE can adopt algorithm selecting PSFCH resource implicitly taking into account its RX UE ID to avoid collision via randomness.</w:t>
        </w:r>
      </w:hyperlink>
    </w:p>
    <w:p w14:paraId="44A460EA" w14:textId="77777777" w:rsidR="005D72CB" w:rsidRPr="00EB0AE6" w:rsidRDefault="00901AC0">
      <w:pPr>
        <w:pStyle w:val="TableofFigures"/>
        <w:tabs>
          <w:tab w:val="left" w:pos="1701"/>
          <w:tab w:val="right" w:leader="dot" w:pos="9629"/>
        </w:tabs>
        <w:rPr>
          <w:rFonts w:asciiTheme="minorHAnsi" w:eastAsiaTheme="minorEastAsia" w:hAnsiTheme="minorHAnsi" w:cstheme="minorBidi"/>
          <w:b/>
          <w:noProof/>
          <w:sz w:val="22"/>
          <w:szCs w:val="22"/>
        </w:rPr>
      </w:pPr>
      <w:hyperlink w:anchor="_Toc23949561" w:history="1">
        <w:r w:rsidR="005D72CB" w:rsidRPr="00EB0AE6">
          <w:rPr>
            <w:rStyle w:val="Hyperlink"/>
            <w:rFonts w:eastAsia="Arial"/>
            <w:b/>
            <w:noProof/>
          </w:rPr>
          <w:t>Observation 5</w:t>
        </w:r>
        <w:r w:rsidR="005D72CB" w:rsidRPr="00EB0AE6">
          <w:rPr>
            <w:rFonts w:asciiTheme="minorHAnsi" w:eastAsiaTheme="minorEastAsia" w:hAnsiTheme="minorHAnsi" w:cstheme="minorBidi"/>
            <w:b/>
            <w:noProof/>
            <w:sz w:val="22"/>
            <w:szCs w:val="22"/>
          </w:rPr>
          <w:tab/>
        </w:r>
        <w:r w:rsidR="005D72CB" w:rsidRPr="00EB0AE6">
          <w:rPr>
            <w:rStyle w:val="Hyperlink"/>
            <w:rFonts w:eastAsia="Arial"/>
            <w:b/>
            <w:noProof/>
          </w:rPr>
          <w:t>For groupcast HARQ, the benefit of letting TX UE know RX UE ID(s) is not clear.</w:t>
        </w:r>
      </w:hyperlink>
    </w:p>
    <w:p w14:paraId="7126C2FA" w14:textId="77777777" w:rsidR="005D72CB" w:rsidRPr="00EB0AE6" w:rsidRDefault="00901AC0" w:rsidP="00EB0AE6">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23949562" w:history="1">
        <w:r w:rsidR="005D72CB" w:rsidRPr="00EB0AE6">
          <w:rPr>
            <w:rStyle w:val="Hyperlink"/>
            <w:b/>
            <w:noProof/>
          </w:rPr>
          <w:t>Observation 6</w:t>
        </w:r>
        <w:r w:rsidR="005D72CB" w:rsidRPr="00EB0AE6">
          <w:rPr>
            <w:rFonts w:asciiTheme="minorHAnsi" w:eastAsiaTheme="minorEastAsia" w:hAnsiTheme="minorHAnsi" w:cstheme="minorBidi"/>
            <w:b/>
            <w:noProof/>
            <w:sz w:val="22"/>
            <w:szCs w:val="22"/>
          </w:rPr>
          <w:tab/>
        </w:r>
        <w:r w:rsidR="005D72CB" w:rsidRPr="00EB0AE6">
          <w:rPr>
            <w:rStyle w:val="Hyperlink"/>
            <w:rFonts w:eastAsia="Arial" w:cs="Arial"/>
            <w:b/>
            <w:noProof/>
          </w:rPr>
          <w:t>For some scenarios, it can be beneficial to divide groupcast Rx UEs into subsets depending on their distances to the Tx UE. The different subsets use different PSFCH resources for sending HARQ feedbacks.</w:t>
        </w:r>
      </w:hyperlink>
    </w:p>
    <w:p w14:paraId="5C2FBF93" w14:textId="6B6FD890" w:rsidR="002D37C0" w:rsidRPr="007A6B98" w:rsidRDefault="002D37C0" w:rsidP="00B06F7C">
      <w:pPr>
        <w:ind w:left="1701" w:hanging="1701"/>
        <w:rPr>
          <w:rFonts w:cs="Arial"/>
        </w:rPr>
      </w:pPr>
      <w:r w:rsidRPr="00944B1A">
        <w:rPr>
          <w:rFonts w:cs="Arial"/>
          <w:b/>
        </w:rPr>
        <w:fldChar w:fldCharType="end"/>
      </w:r>
    </w:p>
    <w:p w14:paraId="777D98A4" w14:textId="1F2C3EA6"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propose the following:</w:t>
      </w:r>
    </w:p>
    <w:bookmarkStart w:id="64" w:name="_Hlk535238527"/>
    <w:p w14:paraId="0D89F3E3" w14:textId="77777777" w:rsidR="005D72CB" w:rsidRDefault="005219AB">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\f \n \p " " \t "Proposal,1" </w:instrText>
      </w:r>
      <w:r w:rsidRPr="00F7210B">
        <w:rPr>
          <w:rFonts w:cs="Arial"/>
          <w:b w:val="0"/>
          <w:bCs/>
        </w:rPr>
        <w:fldChar w:fldCharType="separate"/>
      </w:r>
      <w:r w:rsidR="005D72CB" w:rsidRPr="00DC7DED">
        <w:rPr>
          <w:rFonts w:cs="Arial"/>
        </w:rPr>
        <w:t>Proposal 1</w:t>
      </w:r>
      <w:r w:rsidR="005D72CB">
        <w:rPr>
          <w:rFonts w:asciiTheme="minorHAnsi" w:eastAsiaTheme="minorEastAsia" w:hAnsiTheme="minorHAnsi" w:cstheme="minorBidi"/>
          <w:b w:val="0"/>
          <w:sz w:val="22"/>
        </w:rPr>
        <w:tab/>
      </w:r>
      <w:r w:rsidR="005D72CB" w:rsidRPr="00DC7DED">
        <w:rPr>
          <w:rFonts w:eastAsia="Arial" w:cs="Arial"/>
        </w:rPr>
        <w:t>SCI carries a field indicating the request of HARQ feedback i.e. ACK/NACK.</w:t>
      </w:r>
    </w:p>
    <w:p w14:paraId="005DF966" w14:textId="77777777" w:rsidR="005D72CB" w:rsidRDefault="005D72CB">
      <w:pPr>
        <w:pStyle w:val="TOC1"/>
        <w:rPr>
          <w:rFonts w:asciiTheme="minorHAnsi" w:eastAsiaTheme="minorEastAsia" w:hAnsiTheme="minorHAnsi" w:cstheme="minorBidi"/>
          <w:b w:val="0"/>
          <w:sz w:val="22"/>
        </w:rPr>
      </w:pPr>
      <w:r w:rsidRPr="00DC7DED">
        <w:rPr>
          <w:rFonts w:cs="Arial"/>
        </w:rPr>
        <w:t>Proposal 2</w:t>
      </w:r>
      <w:r>
        <w:rPr>
          <w:rFonts w:asciiTheme="minorHAnsi" w:eastAsiaTheme="minorEastAsia" w:hAnsiTheme="minorHAnsi" w:cstheme="minorBidi"/>
          <w:b w:val="0"/>
          <w:sz w:val="22"/>
        </w:rPr>
        <w:tab/>
      </w:r>
      <w:r w:rsidRPr="00DC7DED">
        <w:rPr>
          <w:rFonts w:cs="Arial"/>
        </w:rPr>
        <w:t>Dynamic and configured grants are associated with a HARQ process ID.</w:t>
      </w:r>
    </w:p>
    <w:p w14:paraId="30357ECB" w14:textId="77777777" w:rsidR="005D72CB" w:rsidRDefault="005D72CB">
      <w:pPr>
        <w:pStyle w:val="TOC1"/>
        <w:rPr>
          <w:rFonts w:asciiTheme="minorHAnsi" w:eastAsiaTheme="minorEastAsia" w:hAnsiTheme="minorHAnsi" w:cstheme="minorBidi"/>
          <w:b w:val="0"/>
          <w:sz w:val="22"/>
        </w:rPr>
      </w:pPr>
      <w:r w:rsidRPr="00DC7DED">
        <w:rPr>
          <w:rFonts w:cs="Arial"/>
        </w:rPr>
        <w:t>Proposal 3</w:t>
      </w:r>
      <w:r>
        <w:rPr>
          <w:rFonts w:asciiTheme="minorHAnsi" w:eastAsiaTheme="minorEastAsia" w:hAnsiTheme="minorHAnsi" w:cstheme="minorBidi"/>
          <w:b w:val="0"/>
          <w:sz w:val="22"/>
        </w:rPr>
        <w:tab/>
      </w:r>
      <w:r w:rsidRPr="00DC7DED">
        <w:rPr>
          <w:rFonts w:cs="Arial"/>
        </w:rPr>
        <w:t>DCI for a dynamic grant carries an NDI flag.</w:t>
      </w:r>
    </w:p>
    <w:p w14:paraId="0F4E0931" w14:textId="77777777" w:rsidR="005D72CB" w:rsidRDefault="005D72CB">
      <w:pPr>
        <w:pStyle w:val="TOC1"/>
        <w:rPr>
          <w:rFonts w:asciiTheme="minorHAnsi" w:eastAsiaTheme="minorEastAsia" w:hAnsiTheme="minorHAnsi" w:cstheme="minorBidi"/>
          <w:b w:val="0"/>
          <w:sz w:val="22"/>
        </w:rPr>
      </w:pPr>
      <w:r w:rsidRPr="00DC7DED">
        <w:rPr>
          <w:rFonts w:eastAsia="Arial" w:cs="Arial"/>
        </w:rPr>
        <w:t>Proposal 4</w:t>
      </w:r>
      <w:r>
        <w:rPr>
          <w:rFonts w:asciiTheme="minorHAnsi" w:eastAsiaTheme="minorEastAsia" w:hAnsiTheme="minorHAnsi" w:cstheme="minorBidi"/>
          <w:b w:val="0"/>
          <w:sz w:val="22"/>
        </w:rPr>
        <w:tab/>
      </w:r>
      <w:r w:rsidRPr="00DC7DED">
        <w:rPr>
          <w:rFonts w:eastAsia="Arial" w:cs="Arial"/>
        </w:rPr>
        <w:t>For groupcast option 1, support that a subset of the receiver UEs share a PSFCH.</w:t>
      </w:r>
    </w:p>
    <w:p w14:paraId="3FC35DB0" w14:textId="77777777" w:rsidR="005D72CB" w:rsidRDefault="005D72CB">
      <w:pPr>
        <w:pStyle w:val="TOC1"/>
        <w:rPr>
          <w:rFonts w:asciiTheme="minorHAnsi" w:eastAsiaTheme="minorEastAsia" w:hAnsiTheme="minorHAnsi" w:cstheme="minorBidi"/>
          <w:b w:val="0"/>
          <w:sz w:val="22"/>
        </w:rPr>
      </w:pPr>
      <w:r w:rsidRPr="00DC7DED">
        <w:rPr>
          <w:rFonts w:eastAsia="Arial"/>
        </w:rPr>
        <w:t>Proposal 5</w:t>
      </w:r>
      <w:r>
        <w:rPr>
          <w:rFonts w:asciiTheme="minorHAnsi" w:eastAsiaTheme="minorEastAsia" w:hAnsiTheme="minorHAnsi" w:cstheme="minorBidi"/>
          <w:b w:val="0"/>
          <w:sz w:val="22"/>
        </w:rPr>
        <w:tab/>
      </w:r>
      <w:r w:rsidRPr="00DC7DED">
        <w:rPr>
          <w:rFonts w:eastAsia="Arial"/>
        </w:rPr>
        <w:t>For large groups, RX UEs are grouped with respect to the distance from TX UEs and PSFCH transmissions from different groups are FDM’ed while PSFCH transmissions from UEs within the same group are CDM’ed.</w:t>
      </w:r>
    </w:p>
    <w:p w14:paraId="44EE0E51" w14:textId="77777777" w:rsidR="005D72CB" w:rsidRDefault="005D72CB">
      <w:pPr>
        <w:pStyle w:val="TOC1"/>
        <w:rPr>
          <w:rFonts w:asciiTheme="minorHAnsi" w:eastAsiaTheme="minorEastAsia" w:hAnsiTheme="minorHAnsi" w:cstheme="minorBidi"/>
          <w:b w:val="0"/>
          <w:sz w:val="22"/>
        </w:rPr>
      </w:pPr>
      <w:r w:rsidRPr="00DC7DED">
        <w:rPr>
          <w:rFonts w:eastAsia="Arial"/>
        </w:rPr>
        <w:t>Proposal 6</w:t>
      </w:r>
      <w:r>
        <w:rPr>
          <w:rFonts w:asciiTheme="minorHAnsi" w:eastAsiaTheme="minorEastAsia" w:hAnsiTheme="minorHAnsi" w:cstheme="minorBidi"/>
          <w:b w:val="0"/>
          <w:sz w:val="22"/>
        </w:rPr>
        <w:tab/>
      </w:r>
      <w:r w:rsidRPr="00DC7DED">
        <w:rPr>
          <w:rFonts w:eastAsia="Arial"/>
        </w:rPr>
        <w:t>L2 (e.g. MAC layer) determines and indicates to physical layer whether option1 or option 2 is used for groupcast HARQ.</w:t>
      </w:r>
    </w:p>
    <w:p w14:paraId="7F6C259E" w14:textId="758890E3" w:rsidR="000E1BDD" w:rsidRDefault="005219AB" w:rsidP="005219AB">
      <w:pPr>
        <w:rPr>
          <w:rFonts w:cs="Arial"/>
        </w:rPr>
      </w:pPr>
      <w:r w:rsidRPr="00F7210B">
        <w:rPr>
          <w:b/>
          <w:bCs/>
        </w:rPr>
        <w:fldChar w:fldCharType="end"/>
      </w:r>
      <w:bookmarkEnd w:id="64"/>
    </w:p>
    <w:p w14:paraId="4D2BC573" w14:textId="77777777" w:rsidR="00201BEF" w:rsidRPr="007B3713" w:rsidRDefault="00201BEF" w:rsidP="00201BEF">
      <w:pPr>
        <w:pStyle w:val="Heading1"/>
      </w:pPr>
      <w:r w:rsidRPr="007B3713">
        <w:lastRenderedPageBreak/>
        <w:t>References</w:t>
      </w:r>
    </w:p>
    <w:p w14:paraId="4A329DF5" w14:textId="2AA66E87" w:rsidR="005324E3" w:rsidRPr="00B06F7C" w:rsidRDefault="005324E3" w:rsidP="00B06F7C">
      <w:pPr>
        <w:pStyle w:val="Reference"/>
      </w:pPr>
      <w:bookmarkStart w:id="65" w:name="_Ref14079684"/>
      <w:bookmarkStart w:id="66" w:name="_Ref174151459"/>
      <w:bookmarkStart w:id="67" w:name="_Ref189809556"/>
      <w:r w:rsidRPr="00B06F7C">
        <w:t xml:space="preserve">RP-190766, New WID on 5G V2X with NR </w:t>
      </w:r>
      <w:proofErr w:type="spellStart"/>
      <w:r w:rsidRPr="00B06F7C">
        <w:t>sidelink</w:t>
      </w:r>
      <w:proofErr w:type="spellEnd"/>
      <w:r w:rsidRPr="00B06F7C">
        <w:t>, 3GPP TSG RAN83, March 18-21, 2019.</w:t>
      </w:r>
      <w:bookmarkEnd w:id="65"/>
    </w:p>
    <w:p w14:paraId="059C2C20" w14:textId="77777777" w:rsidR="00B06F7C" w:rsidRPr="00B06F7C" w:rsidRDefault="00B06F7C" w:rsidP="00B06F7C">
      <w:pPr>
        <w:pStyle w:val="Reference"/>
      </w:pPr>
      <w:bookmarkStart w:id="68" w:name="_Ref16085119"/>
      <w:r w:rsidRPr="00B06F7C">
        <w:t xml:space="preserve">R2-1908303, LS Response on Sidelink HARQ Feedback for Groupcast, RAN2 #106, May </w:t>
      </w:r>
      <w:proofErr w:type="gramStart"/>
      <w:r w:rsidRPr="00B06F7C">
        <w:t>13-17</w:t>
      </w:r>
      <w:proofErr w:type="gramEnd"/>
      <w:r w:rsidRPr="00B06F7C">
        <w:t xml:space="preserve"> 2019</w:t>
      </w:r>
      <w:bookmarkEnd w:id="68"/>
    </w:p>
    <w:p w14:paraId="4DEB03C3" w14:textId="061C5B21" w:rsidR="00B06F7C" w:rsidRPr="00B06F7C" w:rsidRDefault="00B06F7C" w:rsidP="00B06F7C">
      <w:pPr>
        <w:pStyle w:val="Reference"/>
      </w:pPr>
      <w:bookmarkStart w:id="69" w:name="_Ref14349487"/>
      <w:bookmarkStart w:id="70" w:name="_Ref16098021"/>
      <w:r w:rsidRPr="00B06F7C">
        <w:rPr>
          <w:rFonts w:eastAsia="Arial"/>
        </w:rPr>
        <w:t>R1-1908917, “</w:t>
      </w:r>
      <w:bookmarkEnd w:id="69"/>
      <w:r w:rsidRPr="00B06F7C">
        <w:t xml:space="preserve">PHY layer procedures for NR </w:t>
      </w:r>
      <w:proofErr w:type="spellStart"/>
      <w:r w:rsidRPr="00B06F7C">
        <w:t>sidelink</w:t>
      </w:r>
      <w:proofErr w:type="spellEnd"/>
      <w:r w:rsidRPr="00B06F7C">
        <w:t xml:space="preserve">”, </w:t>
      </w:r>
      <w:r w:rsidRPr="00B06F7C">
        <w:rPr>
          <w:rFonts w:eastAsia="Arial"/>
        </w:rPr>
        <w:t>3GPP TSG RAN1 Meeting #98, August 2019</w:t>
      </w:r>
      <w:bookmarkEnd w:id="70"/>
    </w:p>
    <w:p w14:paraId="08E0C600" w14:textId="77777777" w:rsidR="00B06F7C" w:rsidRPr="00B06F7C" w:rsidRDefault="00B06F7C" w:rsidP="00B06F7C">
      <w:pPr>
        <w:pStyle w:val="Reference"/>
        <w:numPr>
          <w:ilvl w:val="0"/>
          <w:numId w:val="0"/>
        </w:numPr>
        <w:ind w:left="567"/>
      </w:pPr>
    </w:p>
    <w:p w14:paraId="4C5FED1D" w14:textId="7AA09D64" w:rsidR="00B06F7C" w:rsidRPr="007B3713" w:rsidRDefault="00B06F7C" w:rsidP="00B06F7C">
      <w:pPr>
        <w:pStyle w:val="Heading1"/>
      </w:pPr>
      <w:r>
        <w:t>Annex</w:t>
      </w:r>
    </w:p>
    <w:p w14:paraId="21E38802" w14:textId="77777777" w:rsidR="00B06F7C" w:rsidRDefault="00B06F7C" w:rsidP="00B06F7C">
      <w:pPr>
        <w:pStyle w:val="BodyText"/>
        <w:rPr>
          <w:rFonts w:cs="Arial"/>
        </w:rPr>
      </w:pPr>
      <w:r w:rsidRPr="00D03BCD">
        <w:rPr>
          <w:rFonts w:cs="Arial"/>
        </w:rPr>
        <w:t xml:space="preserve">It has been agreed that HARQ feedback will be supported for SL unicast and groupcast. Besides, in RAN1 the following agreements related to HARQ </w:t>
      </w:r>
      <w:r>
        <w:rPr>
          <w:rFonts w:cs="Arial"/>
        </w:rPr>
        <w:t>procedure for both mode 1 and mode 2</w:t>
      </w:r>
      <w:r w:rsidRPr="00D03BCD">
        <w:rPr>
          <w:rFonts w:cs="Arial"/>
        </w:rPr>
        <w:t xml:space="preserve">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CF7671" w14:paraId="04876404" w14:textId="77777777" w:rsidTr="001334C6">
        <w:tc>
          <w:tcPr>
            <w:tcW w:w="9855" w:type="dxa"/>
            <w:shd w:val="clear" w:color="auto" w:fill="auto"/>
          </w:tcPr>
          <w:p w14:paraId="30E575EA" w14:textId="77777777" w:rsidR="00B06F7C" w:rsidRPr="001526F4" w:rsidRDefault="00B06F7C" w:rsidP="001334C6">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w:t>
            </w:r>
          </w:p>
          <w:p w14:paraId="6DE96CE5" w14:textId="77777777" w:rsidR="00B06F7C" w:rsidRPr="008C1635" w:rsidRDefault="00B06F7C" w:rsidP="001334C6">
            <w:pPr>
              <w:pStyle w:val="LGTdoc"/>
              <w:numPr>
                <w:ilvl w:val="0"/>
                <w:numId w:val="8"/>
              </w:numPr>
              <w:spacing w:before="100" w:beforeAutospacing="1" w:afterLines="0" w:after="60"/>
              <w:rPr>
                <w:rFonts w:ascii="Arial" w:hAnsi="Arial" w:cs="Arial"/>
                <w:szCs w:val="22"/>
              </w:rPr>
            </w:pPr>
            <w:r w:rsidRPr="001526F4">
              <w:rPr>
                <w:rFonts w:ascii="Arial" w:hAnsi="Arial" w:cs="Arial"/>
                <w:szCs w:val="22"/>
              </w:rPr>
              <w:t xml:space="preserve">(Pre-)configuration indicates whether SL HARQ feedback is enabled or disabled in </w:t>
            </w:r>
            <w:r w:rsidRPr="008C1635">
              <w:rPr>
                <w:rFonts w:ascii="Arial" w:hAnsi="Arial" w:cs="Arial"/>
                <w:szCs w:val="22"/>
              </w:rPr>
              <w:t>unicast and/or groupcast.</w:t>
            </w:r>
          </w:p>
          <w:p w14:paraId="2F0373B2" w14:textId="77777777" w:rsidR="00B06F7C" w:rsidRPr="00CD7E45" w:rsidRDefault="00B06F7C" w:rsidP="001334C6">
            <w:pPr>
              <w:pStyle w:val="LGTdoc"/>
              <w:numPr>
                <w:ilvl w:val="1"/>
                <w:numId w:val="8"/>
              </w:numPr>
              <w:spacing w:before="100" w:beforeAutospacing="1" w:afterLines="0" w:after="60"/>
              <w:rPr>
                <w:szCs w:val="22"/>
              </w:rPr>
            </w:pPr>
            <w:r w:rsidRPr="008C1635">
              <w:rPr>
                <w:rFonts w:ascii="Arial" w:hAnsi="Arial" w:cs="Arial"/>
                <w:szCs w:val="22"/>
              </w:rPr>
              <w:t xml:space="preserve">When (pre-)configuration enables SL HARQ feedback, FFS whether SL HARQ feedback is always used or there is additional condition of actually using SL HARQ feedback. </w:t>
            </w:r>
          </w:p>
          <w:p w14:paraId="327A39B9" w14:textId="77777777" w:rsidR="00B06F7C" w:rsidRPr="001526F4" w:rsidRDefault="00B06F7C" w:rsidP="001334C6">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 xml:space="preserve">: </w:t>
            </w:r>
          </w:p>
          <w:p w14:paraId="160541AE" w14:textId="77777777" w:rsidR="00B06F7C" w:rsidRPr="001526F4" w:rsidRDefault="00B06F7C" w:rsidP="001334C6">
            <w:pPr>
              <w:pStyle w:val="ListParagraph"/>
              <w:numPr>
                <w:ilvl w:val="0"/>
                <w:numId w:val="8"/>
              </w:numPr>
              <w:rPr>
                <w:rFonts w:ascii="Arial" w:eastAsia="DengXian" w:hAnsi="Arial" w:cs="Arial"/>
                <w:lang w:eastAsia="zh-CN"/>
              </w:rPr>
            </w:pPr>
            <w:r w:rsidRPr="001526F4">
              <w:rPr>
                <w:rFonts w:ascii="Arial" w:eastAsia="DengXian" w:hAnsi="Arial" w:cs="Arial"/>
                <w:lang w:eastAsia="zh-CN"/>
              </w:rPr>
              <w:t xml:space="preserve">(Pre-)configuration indicates the time gap between PSFCH and the associated PSSCH for Mode 1 and Mode 2. </w:t>
            </w:r>
          </w:p>
          <w:p w14:paraId="62B57106" w14:textId="77777777" w:rsidR="00B06F7C" w:rsidRPr="00A24894" w:rsidRDefault="00B06F7C" w:rsidP="001334C6">
            <w:pPr>
              <w:rPr>
                <w:rFonts w:eastAsia="DengXian" w:cs="Arial"/>
                <w:sz w:val="22"/>
                <w:szCs w:val="22"/>
                <w:lang w:val="en-US"/>
              </w:rPr>
            </w:pPr>
            <w:r w:rsidRPr="00A24894">
              <w:rPr>
                <w:rFonts w:eastAsia="DengXian" w:cs="Arial"/>
                <w:sz w:val="22"/>
                <w:szCs w:val="22"/>
                <w:highlight w:val="green"/>
              </w:rPr>
              <w:t>Agreements:</w:t>
            </w:r>
          </w:p>
          <w:p w14:paraId="65BDD196" w14:textId="77777777" w:rsidR="00B06F7C" w:rsidRPr="00A24894" w:rsidRDefault="00B06F7C" w:rsidP="001334C6">
            <w:pPr>
              <w:numPr>
                <w:ilvl w:val="0"/>
                <w:numId w:val="9"/>
              </w:numPr>
              <w:rPr>
                <w:rFonts w:eastAsia="DengXian" w:cs="Arial"/>
                <w:sz w:val="22"/>
                <w:szCs w:val="22"/>
                <w:lang w:val="en-US"/>
              </w:rPr>
            </w:pPr>
            <w:r w:rsidRPr="00A24894">
              <w:rPr>
                <w:rFonts w:eastAsia="DengXian" w:cs="Arial"/>
                <w:sz w:val="22"/>
                <w:szCs w:val="22"/>
              </w:rPr>
              <w:t xml:space="preserve">A dynamic grant provides resources for one or multiple </w:t>
            </w:r>
            <w:proofErr w:type="spellStart"/>
            <w:r w:rsidRPr="00A24894">
              <w:rPr>
                <w:rFonts w:eastAsia="DengXian" w:cs="Arial"/>
                <w:sz w:val="22"/>
                <w:szCs w:val="22"/>
              </w:rPr>
              <w:t>sidelink</w:t>
            </w:r>
            <w:proofErr w:type="spellEnd"/>
            <w:r w:rsidRPr="00A24894">
              <w:rPr>
                <w:rFonts w:eastAsia="DengXian" w:cs="Arial"/>
                <w:sz w:val="22"/>
                <w:szCs w:val="22"/>
              </w:rPr>
              <w:t xml:space="preserve"> transmissions of a single TB.</w:t>
            </w:r>
          </w:p>
          <w:p w14:paraId="3E1E629A" w14:textId="77777777" w:rsidR="00B06F7C" w:rsidRPr="00A24894" w:rsidRDefault="00B06F7C" w:rsidP="001334C6">
            <w:pPr>
              <w:numPr>
                <w:ilvl w:val="0"/>
                <w:numId w:val="9"/>
              </w:numPr>
              <w:rPr>
                <w:rFonts w:eastAsia="DengXian" w:cs="Arial"/>
                <w:sz w:val="22"/>
                <w:szCs w:val="22"/>
                <w:lang w:val="en-US"/>
              </w:rPr>
            </w:pPr>
            <w:r w:rsidRPr="00A24894">
              <w:rPr>
                <w:rFonts w:eastAsia="DengXian" w:cs="Arial"/>
                <w:sz w:val="22"/>
                <w:szCs w:val="22"/>
              </w:rPr>
              <w:t xml:space="preserve">A configured grant (type-1, type-2) provides a set of resources in a periodic manner for multiple </w:t>
            </w:r>
            <w:proofErr w:type="spellStart"/>
            <w:r w:rsidRPr="00A24894">
              <w:rPr>
                <w:rFonts w:eastAsia="DengXian" w:cs="Arial"/>
                <w:sz w:val="22"/>
                <w:szCs w:val="22"/>
              </w:rPr>
              <w:t>sidelink</w:t>
            </w:r>
            <w:proofErr w:type="spellEnd"/>
            <w:r w:rsidRPr="00A24894">
              <w:rPr>
                <w:rFonts w:eastAsia="DengXian" w:cs="Arial"/>
                <w:sz w:val="22"/>
                <w:szCs w:val="22"/>
              </w:rPr>
              <w:t xml:space="preserve"> transmissions.</w:t>
            </w:r>
          </w:p>
          <w:p w14:paraId="2EB97222"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UE decides which TB to transmit in each of the occasions indicated by a given configured grant.</w:t>
            </w:r>
          </w:p>
          <w:p w14:paraId="1B5C4112"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FFS: whether different transmissions of a TB can take place across multiple configured grants.</w:t>
            </w:r>
          </w:p>
          <w:p w14:paraId="3D39044A"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Other restrictions on what can be transmitted in a given configured grant (e.g., based on QoS, destination UE, etc.) are up to RAN2.</w:t>
            </w:r>
          </w:p>
          <w:p w14:paraId="4F665FED"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257AE728"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 xml:space="preserve">Sidelink HARQ ACK/NACK report from transmitter UE to </w:t>
            </w:r>
            <w:proofErr w:type="spellStart"/>
            <w:r w:rsidRPr="00AB4EF5">
              <w:rPr>
                <w:rFonts w:eastAsia="DengXian" w:cs="Arial"/>
                <w:sz w:val="22"/>
                <w:szCs w:val="22"/>
              </w:rPr>
              <w:t>gNB</w:t>
            </w:r>
            <w:proofErr w:type="spellEnd"/>
            <w:r w:rsidRPr="00AB4EF5">
              <w:rPr>
                <w:rFonts w:eastAsia="DengXian" w:cs="Arial"/>
                <w:sz w:val="22"/>
                <w:szCs w:val="22"/>
              </w:rPr>
              <w:t xml:space="preserve"> is supported with details FFS.</w:t>
            </w:r>
          </w:p>
          <w:p w14:paraId="7702BE1F"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Note: this reverts the following agreement from RAN1#96:</w:t>
            </w:r>
          </w:p>
          <w:p w14:paraId="3F44AE3D" w14:textId="77777777" w:rsidR="00B06F7C" w:rsidRPr="00AB4EF5" w:rsidRDefault="00B06F7C" w:rsidP="001334C6">
            <w:pPr>
              <w:numPr>
                <w:ilvl w:val="1"/>
                <w:numId w:val="10"/>
              </w:numPr>
              <w:rPr>
                <w:rFonts w:eastAsia="DengXian" w:cs="Arial"/>
                <w:sz w:val="22"/>
                <w:szCs w:val="22"/>
                <w:lang w:val="en-US"/>
              </w:rPr>
            </w:pPr>
            <w:r w:rsidRPr="00AB4EF5">
              <w:rPr>
                <w:rFonts w:eastAsia="DengXian" w:cs="Arial"/>
                <w:sz w:val="22"/>
                <w:szCs w:val="22"/>
              </w:rPr>
              <w:t xml:space="preserve">Sidelink HARQ ACK/NACK report from UE to </w:t>
            </w:r>
            <w:proofErr w:type="spellStart"/>
            <w:r w:rsidRPr="00AB4EF5">
              <w:rPr>
                <w:rFonts w:eastAsia="DengXian" w:cs="Arial"/>
                <w:sz w:val="22"/>
                <w:szCs w:val="22"/>
              </w:rPr>
              <w:t>gNB</w:t>
            </w:r>
            <w:proofErr w:type="spellEnd"/>
            <w:r w:rsidRPr="00AB4EF5">
              <w:rPr>
                <w:rFonts w:eastAsia="DengXian" w:cs="Arial"/>
                <w:sz w:val="22"/>
                <w:szCs w:val="22"/>
              </w:rPr>
              <w:t xml:space="preserve"> is not supported in Rel-16.</w:t>
            </w:r>
          </w:p>
          <w:p w14:paraId="48DD211E"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 xml:space="preserve">SR/BSR report to </w:t>
            </w:r>
            <w:proofErr w:type="spellStart"/>
            <w:r w:rsidRPr="00AB4EF5">
              <w:rPr>
                <w:rFonts w:eastAsia="DengXian" w:cs="Arial"/>
                <w:sz w:val="22"/>
                <w:szCs w:val="22"/>
              </w:rPr>
              <w:t>gNB</w:t>
            </w:r>
            <w:proofErr w:type="spellEnd"/>
            <w:r w:rsidRPr="00AB4EF5">
              <w:rPr>
                <w:rFonts w:eastAsia="DengXian" w:cs="Arial"/>
                <w:sz w:val="22"/>
                <w:szCs w:val="22"/>
              </w:rPr>
              <w:t xml:space="preserve"> for the purpose of requesting resources for HARQ retransmission is not supported.</w:t>
            </w:r>
          </w:p>
          <w:p w14:paraId="664C5643" w14:textId="77777777" w:rsidR="00B06F7C" w:rsidRPr="00AB4EF5" w:rsidRDefault="00B06F7C" w:rsidP="001334C6">
            <w:pPr>
              <w:rPr>
                <w:rFonts w:eastAsia="DengXian" w:cs="Arial"/>
                <w:sz w:val="22"/>
                <w:szCs w:val="22"/>
                <w:lang w:val="en-US"/>
              </w:rPr>
            </w:pPr>
          </w:p>
          <w:p w14:paraId="1996246E"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30004C81" w14:textId="77777777" w:rsidR="00B06F7C" w:rsidRPr="00AB4EF5" w:rsidRDefault="00B06F7C" w:rsidP="001334C6">
            <w:pPr>
              <w:numPr>
                <w:ilvl w:val="0"/>
                <w:numId w:val="11"/>
              </w:numPr>
              <w:rPr>
                <w:rFonts w:eastAsia="DengXian" w:cs="Arial"/>
                <w:sz w:val="22"/>
                <w:szCs w:val="22"/>
                <w:lang w:val="en-US"/>
              </w:rPr>
            </w:pPr>
            <w:r w:rsidRPr="00AB4EF5">
              <w:rPr>
                <w:rFonts w:eastAsia="DengXian" w:cs="Arial"/>
                <w:sz w:val="22"/>
                <w:szCs w:val="22"/>
              </w:rPr>
              <w:t xml:space="preserve">NR </w:t>
            </w:r>
            <w:proofErr w:type="spellStart"/>
            <w:r w:rsidRPr="00AB4EF5">
              <w:rPr>
                <w:rFonts w:eastAsia="DengXian" w:cs="Arial"/>
                <w:sz w:val="22"/>
                <w:szCs w:val="22"/>
              </w:rPr>
              <w:t>sidelink</w:t>
            </w:r>
            <w:proofErr w:type="spellEnd"/>
            <w:r w:rsidRPr="00AB4EF5">
              <w:rPr>
                <w:rFonts w:eastAsia="DengXian" w:cs="Arial"/>
                <w:sz w:val="22"/>
                <w:szCs w:val="22"/>
              </w:rPr>
              <w:t xml:space="preserve"> does not support performing different transmissions of a TB using different configured grants.</w:t>
            </w:r>
          </w:p>
          <w:p w14:paraId="1683C1B7" w14:textId="77777777" w:rsidR="00B06F7C" w:rsidRPr="00AB4EF5" w:rsidRDefault="00B06F7C" w:rsidP="001334C6">
            <w:pPr>
              <w:ind w:left="720"/>
              <w:rPr>
                <w:rFonts w:eastAsia="DengXian" w:cs="Arial"/>
                <w:sz w:val="22"/>
                <w:szCs w:val="22"/>
                <w:lang w:val="en-US"/>
              </w:rPr>
            </w:pPr>
          </w:p>
          <w:p w14:paraId="57AB3C95"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5F3FF552" w14:textId="77777777" w:rsidR="00B06F7C" w:rsidRPr="00AB4EF5" w:rsidRDefault="00B06F7C" w:rsidP="001334C6">
            <w:pPr>
              <w:numPr>
                <w:ilvl w:val="0"/>
                <w:numId w:val="12"/>
              </w:numPr>
              <w:rPr>
                <w:rFonts w:eastAsia="DengXian" w:cs="Arial"/>
                <w:sz w:val="22"/>
                <w:szCs w:val="22"/>
                <w:lang w:val="en-US"/>
              </w:rPr>
            </w:pPr>
            <w:r w:rsidRPr="00AB4EF5">
              <w:rPr>
                <w:rFonts w:eastAsia="DengXian" w:cs="Arial"/>
                <w:sz w:val="22"/>
                <w:szCs w:val="22"/>
              </w:rPr>
              <w:t>For mode 1:</w:t>
            </w:r>
          </w:p>
          <w:p w14:paraId="33B338C9" w14:textId="77777777" w:rsidR="00B06F7C" w:rsidRPr="00D91038" w:rsidRDefault="00B06F7C" w:rsidP="001334C6">
            <w:pPr>
              <w:numPr>
                <w:ilvl w:val="1"/>
                <w:numId w:val="12"/>
              </w:numPr>
              <w:rPr>
                <w:rFonts w:eastAsia="DengXian" w:cs="Arial"/>
                <w:sz w:val="22"/>
                <w:szCs w:val="22"/>
                <w:lang w:val="en-US"/>
              </w:rPr>
            </w:pPr>
            <w:r w:rsidRPr="00AB4EF5">
              <w:rPr>
                <w:rFonts w:eastAsia="DengXian" w:cs="Arial"/>
                <w:sz w:val="22"/>
                <w:szCs w:val="22"/>
              </w:rPr>
              <w:t xml:space="preserve">A dynamic grant by the </w:t>
            </w:r>
            <w:proofErr w:type="spellStart"/>
            <w:r w:rsidRPr="00AB4EF5">
              <w:rPr>
                <w:rFonts w:eastAsia="DengXian" w:cs="Arial"/>
                <w:sz w:val="22"/>
                <w:szCs w:val="22"/>
              </w:rPr>
              <w:t>gNB</w:t>
            </w:r>
            <w:proofErr w:type="spellEnd"/>
            <w:r w:rsidRPr="00AB4EF5">
              <w:rPr>
                <w:rFonts w:eastAsia="DengXian" w:cs="Arial"/>
                <w:sz w:val="22"/>
                <w:szCs w:val="22"/>
              </w:rPr>
              <w:t xml:space="preserve"> provides resources for transmission of PSCCH and PSSCH.</w:t>
            </w:r>
          </w:p>
          <w:p w14:paraId="7D96435E" w14:textId="77777777" w:rsidR="00B06F7C" w:rsidRPr="00D91038" w:rsidRDefault="00B06F7C" w:rsidP="001334C6">
            <w:pPr>
              <w:tabs>
                <w:tab w:val="left" w:pos="7283"/>
              </w:tabs>
              <w:rPr>
                <w:rFonts w:eastAsia="DengXian" w:cs="Arial"/>
                <w:sz w:val="22"/>
                <w:szCs w:val="22"/>
                <w:lang w:val="en-US"/>
              </w:rPr>
            </w:pPr>
            <w:r w:rsidRPr="00AB6987">
              <w:rPr>
                <w:rFonts w:eastAsia="DengXian" w:cs="Arial"/>
                <w:sz w:val="22"/>
                <w:szCs w:val="22"/>
                <w:highlight w:val="green"/>
                <w:lang w:val="en-US"/>
              </w:rPr>
              <w:t>Agreements:</w:t>
            </w:r>
          </w:p>
          <w:p w14:paraId="08A370E0" w14:textId="77777777" w:rsidR="00B06F7C" w:rsidRPr="00D91038" w:rsidRDefault="00B06F7C" w:rsidP="001334C6">
            <w:pPr>
              <w:numPr>
                <w:ilvl w:val="0"/>
                <w:numId w:val="13"/>
              </w:numPr>
              <w:rPr>
                <w:rFonts w:eastAsia="DengXian" w:cs="Arial"/>
                <w:sz w:val="22"/>
                <w:szCs w:val="22"/>
                <w:lang w:val="en-US"/>
              </w:rPr>
            </w:pPr>
            <w:r w:rsidRPr="00D91038">
              <w:rPr>
                <w:rFonts w:eastAsia="DengXian" w:cs="Arial"/>
                <w:sz w:val="22"/>
                <w:szCs w:val="22"/>
                <w:lang w:val="en-US"/>
              </w:rPr>
              <w:t>At least for the case when the PSFCH in a slot is in response to a single PSSCH:</w:t>
            </w:r>
          </w:p>
          <w:p w14:paraId="012E0171" w14:textId="77777777" w:rsidR="00B06F7C" w:rsidRPr="00D91038" w:rsidRDefault="00B06F7C" w:rsidP="001334C6">
            <w:pPr>
              <w:numPr>
                <w:ilvl w:val="1"/>
                <w:numId w:val="13"/>
              </w:numPr>
              <w:rPr>
                <w:rFonts w:eastAsia="DengXian" w:cs="Arial"/>
                <w:sz w:val="22"/>
                <w:szCs w:val="22"/>
                <w:lang w:val="en-US"/>
              </w:rPr>
            </w:pPr>
            <w:r w:rsidRPr="00D91038">
              <w:rPr>
                <w:rFonts w:eastAsia="DengXian" w:cs="Arial"/>
                <w:sz w:val="22"/>
                <w:szCs w:val="22"/>
                <w:lang w:val="en-US"/>
              </w:rPr>
              <w:t>Implicit mechanism is used to determine at least frequency and/or code domain resource of PSFCH, within a configured resource pool. At least the following parameters are used in the implicit mechanism:</w:t>
            </w:r>
          </w:p>
          <w:p w14:paraId="5CFA0B24"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Slot index (FFS details) associated with PSCCH/PSSCH/PSFCH</w:t>
            </w:r>
          </w:p>
          <w:p w14:paraId="7F8A3BAB"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Sub-channel(s) (FFS details) associated with PSCCH/PSSCH</w:t>
            </w:r>
          </w:p>
          <w:p w14:paraId="75200162"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Identifier (FFS details) to distinguish each RX UE in a group for Option 2 groupcast HARQ feedback</w:t>
            </w:r>
          </w:p>
          <w:p w14:paraId="67E20CF4"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 xml:space="preserve">FFS detailed applicability of the above parameters </w:t>
            </w:r>
          </w:p>
          <w:p w14:paraId="6617CC52"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FFS: Other parameters (e.g. SL-RSRP/SINR, Layer-1 source ID, location information, etc.)</w:t>
            </w:r>
          </w:p>
          <w:p w14:paraId="3A066445" w14:textId="77777777" w:rsidR="00B06F7C" w:rsidRDefault="00B06F7C" w:rsidP="001334C6">
            <w:pPr>
              <w:rPr>
                <w:rFonts w:eastAsia="DengXian" w:cs="Arial"/>
                <w:lang w:val="en-US"/>
              </w:rPr>
            </w:pPr>
          </w:p>
          <w:p w14:paraId="224175EC" w14:textId="77777777" w:rsidR="00B06F7C" w:rsidRPr="005A7830" w:rsidRDefault="00B06F7C" w:rsidP="001334C6">
            <w:pPr>
              <w:rPr>
                <w:b/>
              </w:rPr>
            </w:pPr>
            <w:r w:rsidRPr="005A7830">
              <w:rPr>
                <w:highlight w:val="green"/>
              </w:rPr>
              <w:t>Agreements</w:t>
            </w:r>
            <w:r w:rsidRPr="005A7830">
              <w:rPr>
                <w:b/>
              </w:rPr>
              <w:t>:</w:t>
            </w:r>
          </w:p>
          <w:p w14:paraId="4455A3D1" w14:textId="77777777" w:rsidR="00B06F7C" w:rsidRPr="005A7830" w:rsidRDefault="00B06F7C" w:rsidP="001334C6">
            <w:pPr>
              <w:pStyle w:val="ListParagraph"/>
              <w:numPr>
                <w:ilvl w:val="0"/>
                <w:numId w:val="18"/>
              </w:numPr>
              <w:spacing w:after="0" w:line="240" w:lineRule="auto"/>
            </w:pPr>
            <w:r w:rsidRPr="005A7830">
              <w:t>NR V2X Mode-2 supports resource reservation for feedback-based PSSCH retransmissions by signaling associated with a prior transmission of the same TB</w:t>
            </w:r>
          </w:p>
          <w:p w14:paraId="247A74E6" w14:textId="77777777" w:rsidR="00B06F7C" w:rsidRPr="005A7830" w:rsidRDefault="00B06F7C" w:rsidP="001334C6">
            <w:pPr>
              <w:pStyle w:val="ListParagraph"/>
              <w:numPr>
                <w:ilvl w:val="1"/>
                <w:numId w:val="18"/>
              </w:numPr>
              <w:spacing w:after="0" w:line="240" w:lineRule="auto"/>
            </w:pPr>
            <w:r w:rsidRPr="005A7830">
              <w:t>FFS impact on subsequent sensing and resource selection procedures</w:t>
            </w:r>
          </w:p>
          <w:p w14:paraId="08E36B95" w14:textId="77777777" w:rsidR="00B06F7C" w:rsidRPr="00027AD8" w:rsidRDefault="00B06F7C" w:rsidP="001334C6">
            <w:pPr>
              <w:pStyle w:val="ListParagraph"/>
              <w:numPr>
                <w:ilvl w:val="1"/>
                <w:numId w:val="18"/>
              </w:numPr>
              <w:spacing w:after="0" w:line="240" w:lineRule="auto"/>
            </w:pPr>
            <w:r w:rsidRPr="00CD7E45">
              <w:t>At least from the transmitter perspective of this TB, usage of HARQ feedback for release of unused resource(s) is supported</w:t>
            </w:r>
          </w:p>
          <w:p w14:paraId="17A2E64F" w14:textId="77777777" w:rsidR="00B06F7C" w:rsidRDefault="00B06F7C" w:rsidP="001334C6">
            <w:pPr>
              <w:pStyle w:val="ListParagraph"/>
              <w:numPr>
                <w:ilvl w:val="2"/>
                <w:numId w:val="18"/>
              </w:numPr>
              <w:spacing w:after="0" w:line="240" w:lineRule="auto"/>
            </w:pPr>
            <w:r w:rsidRPr="005A7830">
              <w:t>No additional signaling is defined for the purpose of release of unused resources by the transmitting UE</w:t>
            </w:r>
          </w:p>
          <w:p w14:paraId="5F6A1A7F" w14:textId="77777777" w:rsidR="00B06F7C" w:rsidRPr="00CD7E45" w:rsidRDefault="00B06F7C" w:rsidP="001334C6">
            <w:pPr>
              <w:pStyle w:val="ListParagraph"/>
              <w:numPr>
                <w:ilvl w:val="2"/>
                <w:numId w:val="18"/>
              </w:numPr>
              <w:spacing w:after="0" w:line="240" w:lineRule="auto"/>
            </w:pPr>
            <w:r w:rsidRPr="005A7830">
              <w:t>FFS the behavior of the receiver UE(s) of this TB and other UEs</w:t>
            </w:r>
          </w:p>
        </w:tc>
      </w:tr>
    </w:tbl>
    <w:p w14:paraId="7CD9C93F" w14:textId="668E29BD" w:rsidR="00B06F7C" w:rsidRDefault="00B06F7C" w:rsidP="00B06F7C">
      <w:pPr>
        <w:pStyle w:val="Reference"/>
        <w:numPr>
          <w:ilvl w:val="0"/>
          <w:numId w:val="0"/>
        </w:numPr>
        <w:overflowPunct/>
        <w:autoSpaceDE/>
        <w:autoSpaceDN/>
        <w:adjustRightInd/>
        <w:spacing w:line="259" w:lineRule="auto"/>
        <w:textAlignment w:val="auto"/>
        <w:rPr>
          <w:lang w:val="en-US"/>
        </w:rPr>
      </w:pPr>
    </w:p>
    <w:p w14:paraId="6DEF0B52" w14:textId="77777777" w:rsidR="00B06F7C" w:rsidRPr="005043F5" w:rsidRDefault="00B06F7C" w:rsidP="00B06F7C">
      <w:pPr>
        <w:pStyle w:val="BodyText"/>
        <w:rPr>
          <w:rFonts w:eastAsia="Arial" w:cs="Arial"/>
        </w:rPr>
      </w:pPr>
      <w:r w:rsidRPr="005043F5">
        <w:rPr>
          <w:rFonts w:eastAsia="Arial" w:cs="Arial"/>
        </w:rPr>
        <w:t>Besides, in RAN1</w:t>
      </w:r>
      <w:r>
        <w:rPr>
          <w:rFonts w:eastAsia="Arial" w:cs="Arial"/>
        </w:rPr>
        <w:t xml:space="preserve">#96bis </w:t>
      </w:r>
      <w:r w:rsidRPr="005043F5">
        <w:rPr>
          <w:rFonts w:eastAsia="Arial" w:cs="Arial"/>
        </w:rPr>
        <w:t xml:space="preserve">the following agreements related to </w:t>
      </w:r>
      <w:r>
        <w:rPr>
          <w:rFonts w:eastAsia="Arial" w:cs="Arial"/>
        </w:rPr>
        <w:t xml:space="preserve">groupcast </w:t>
      </w:r>
      <w:r w:rsidRPr="005043F5">
        <w:rPr>
          <w:rFonts w:eastAsia="Arial" w:cs="Arial"/>
        </w:rPr>
        <w:t xml:space="preserve">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573CD2" w14:paraId="2EBC7700" w14:textId="77777777" w:rsidTr="001334C6">
        <w:tc>
          <w:tcPr>
            <w:tcW w:w="9855" w:type="dxa"/>
            <w:shd w:val="clear" w:color="auto" w:fill="auto"/>
          </w:tcPr>
          <w:p w14:paraId="06924300" w14:textId="77777777" w:rsidR="00B06F7C" w:rsidRPr="003F08BE" w:rsidRDefault="00B06F7C" w:rsidP="001334C6">
            <w:pPr>
              <w:ind w:left="1440" w:hanging="1440"/>
              <w:rPr>
                <w:rFonts w:cs="Arial"/>
                <w:highlight w:val="green"/>
              </w:rPr>
            </w:pPr>
            <w:r w:rsidRPr="003F08BE">
              <w:rPr>
                <w:rFonts w:cs="Arial"/>
                <w:highlight w:val="green"/>
              </w:rPr>
              <w:t>Agreements:</w:t>
            </w:r>
          </w:p>
          <w:p w14:paraId="3421145E" w14:textId="77777777" w:rsidR="00B06F7C" w:rsidRPr="000E0945" w:rsidRDefault="00B06F7C" w:rsidP="00B06F7C">
            <w:pPr>
              <w:pStyle w:val="LGTdoc"/>
              <w:numPr>
                <w:ilvl w:val="0"/>
                <w:numId w:val="39"/>
              </w:numPr>
              <w:autoSpaceDE w:val="0"/>
              <w:autoSpaceDN w:val="0"/>
              <w:adjustRightInd w:val="0"/>
              <w:spacing w:before="100" w:beforeAutospacing="1" w:afterLines="0" w:after="60"/>
              <w:ind w:left="714" w:hanging="357"/>
              <w:jc w:val="both"/>
              <w:rPr>
                <w:rFonts w:ascii="Arial" w:hAnsi="Arial" w:cs="Arial"/>
                <w:sz w:val="20"/>
                <w:szCs w:val="20"/>
                <w:lang w:val="en-GB"/>
              </w:rPr>
            </w:pPr>
            <w:r w:rsidRPr="000E0945">
              <w:rPr>
                <w:rFonts w:ascii="Arial" w:hAnsi="Arial" w:cs="Arial"/>
                <w:sz w:val="20"/>
                <w:szCs w:val="20"/>
                <w:lang w:val="en-GB"/>
              </w:rPr>
              <w:t>Confirm the following working assumption:</w:t>
            </w:r>
          </w:p>
          <w:p w14:paraId="74172AEB" w14:textId="77777777" w:rsidR="00B06F7C" w:rsidRPr="000E0945" w:rsidRDefault="00B06F7C" w:rsidP="00B06F7C">
            <w:pPr>
              <w:pStyle w:val="LGTdoc"/>
              <w:numPr>
                <w:ilvl w:val="1"/>
                <w:numId w:val="39"/>
              </w:numPr>
              <w:autoSpaceDE w:val="0"/>
              <w:autoSpaceDN w:val="0"/>
              <w:adjustRightInd w:val="0"/>
              <w:spacing w:before="100" w:beforeAutospacing="1" w:after="120"/>
              <w:jc w:val="both"/>
              <w:rPr>
                <w:rFonts w:ascii="Arial" w:hAnsi="Arial" w:cs="Arial"/>
                <w:sz w:val="20"/>
                <w:szCs w:val="20"/>
              </w:rPr>
            </w:pPr>
            <w:r w:rsidRPr="000E0945">
              <w:rPr>
                <w:rFonts w:ascii="Arial" w:hAnsi="Arial" w:cs="Arial"/>
                <w:sz w:val="20"/>
                <w:szCs w:val="20"/>
              </w:rPr>
              <w:t>Working assumption:</w:t>
            </w:r>
          </w:p>
          <w:p w14:paraId="37D6723B" w14:textId="77777777" w:rsidR="00B06F7C" w:rsidRPr="000E0945" w:rsidRDefault="00B06F7C" w:rsidP="00B06F7C">
            <w:pPr>
              <w:pStyle w:val="LGTdoc"/>
              <w:numPr>
                <w:ilvl w:val="2"/>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When HARQ feedback is enabled for groupcast, support (options as identified in RAN1#95):</w:t>
            </w:r>
          </w:p>
          <w:p w14:paraId="38E91AD3" w14:textId="77777777" w:rsidR="00B06F7C" w:rsidRPr="000E0945" w:rsidRDefault="00B06F7C" w:rsidP="00B06F7C">
            <w:pPr>
              <w:pStyle w:val="LGTdoc"/>
              <w:numPr>
                <w:ilvl w:val="3"/>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1: Receiver UE transmits only HARQ NACK</w:t>
            </w:r>
          </w:p>
          <w:p w14:paraId="61B6DEE0" w14:textId="77777777" w:rsidR="00B06F7C" w:rsidRPr="000E0945" w:rsidRDefault="00B06F7C" w:rsidP="00B06F7C">
            <w:pPr>
              <w:pStyle w:val="LGTdoc"/>
              <w:numPr>
                <w:ilvl w:val="3"/>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2: Receiver UE transmits HARQ ACK/NACK</w:t>
            </w:r>
          </w:p>
          <w:p w14:paraId="3F91297E" w14:textId="77777777" w:rsidR="00B06F7C" w:rsidRPr="000E0945" w:rsidRDefault="00B06F7C" w:rsidP="00B06F7C">
            <w:pPr>
              <w:pStyle w:val="LGTdoc"/>
              <w:numPr>
                <w:ilvl w:val="0"/>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Note: RAN1 has not concluded the respective applicability of option 1 vs. option 2 yet</w:t>
            </w:r>
          </w:p>
          <w:p w14:paraId="3EF192C0" w14:textId="77777777" w:rsidR="00B06F7C" w:rsidRPr="003F08BE" w:rsidRDefault="00B06F7C" w:rsidP="001334C6">
            <w:pPr>
              <w:rPr>
                <w:rFonts w:cs="Arial"/>
                <w:highlight w:val="green"/>
                <w:lang w:eastAsia="x-none"/>
              </w:rPr>
            </w:pPr>
          </w:p>
          <w:p w14:paraId="5497B0A2" w14:textId="77777777" w:rsidR="00B06F7C" w:rsidRPr="003F08BE" w:rsidRDefault="00B06F7C" w:rsidP="001334C6">
            <w:pPr>
              <w:rPr>
                <w:rFonts w:cs="Arial"/>
                <w:lang w:eastAsia="x-none"/>
              </w:rPr>
            </w:pPr>
            <w:r w:rsidRPr="003F08BE">
              <w:rPr>
                <w:rFonts w:cs="Arial"/>
                <w:highlight w:val="green"/>
                <w:lang w:eastAsia="x-none"/>
              </w:rPr>
              <w:t>Agreements</w:t>
            </w:r>
            <w:r w:rsidRPr="003F08BE">
              <w:rPr>
                <w:rFonts w:cs="Arial"/>
                <w:lang w:eastAsia="x-none"/>
              </w:rPr>
              <w:t xml:space="preserve">: </w:t>
            </w:r>
          </w:p>
          <w:p w14:paraId="5A600B5F" w14:textId="77777777" w:rsidR="00B06F7C" w:rsidRPr="000E0945" w:rsidRDefault="00B06F7C" w:rsidP="001334C6">
            <w:pPr>
              <w:pStyle w:val="LGTdoc"/>
              <w:numPr>
                <w:ilvl w:val="0"/>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In HARQ feedback for groupcast,</w:t>
            </w:r>
          </w:p>
          <w:p w14:paraId="31A11128"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1 is used for a groupcast transmission, it is supported </w:t>
            </w:r>
          </w:p>
          <w:p w14:paraId="0B1BF69D"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all the receiver UEs share a PSFCH</w:t>
            </w:r>
          </w:p>
          <w:p w14:paraId="4AD098A9"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lastRenderedPageBreak/>
              <w:t>FFS: a subset of the receiver UEs share a PSFCH</w:t>
            </w:r>
          </w:p>
          <w:p w14:paraId="3F7D6B01"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pool of PSFCH.</w:t>
            </w:r>
          </w:p>
          <w:p w14:paraId="497ED683"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2 is used for a groupcast transmission, it is supported </w:t>
            </w:r>
          </w:p>
          <w:p w14:paraId="21F82E91"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each receiver UE uses a separate PSFCH for HARQ ACK/NACK.</w:t>
            </w:r>
          </w:p>
          <w:p w14:paraId="491F3563"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PSFCH for ACK transmission and another PSFCH for NACK transmission</w:t>
            </w:r>
          </w:p>
          <w:p w14:paraId="4D4FE018"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on which entity and how to allocate PSFCH resource to the receiver UE(s)</w:t>
            </w:r>
          </w:p>
          <w:p w14:paraId="0C54DD5A" w14:textId="77777777" w:rsidR="00B06F7C" w:rsidRPr="00FC6F44" w:rsidRDefault="00B06F7C" w:rsidP="001334C6">
            <w:pPr>
              <w:pStyle w:val="LGTdoc"/>
              <w:numPr>
                <w:ilvl w:val="1"/>
                <w:numId w:val="8"/>
              </w:numPr>
              <w:autoSpaceDE w:val="0"/>
              <w:autoSpaceDN w:val="0"/>
              <w:adjustRightInd w:val="0"/>
              <w:spacing w:before="100" w:beforeAutospacing="1" w:after="120"/>
              <w:jc w:val="both"/>
              <w:rPr>
                <w:rFonts w:ascii="Arial" w:eastAsia="DengXian" w:hAnsi="Arial"/>
                <w:lang w:val="en-GB" w:eastAsia="zh-CN"/>
              </w:rPr>
            </w:pPr>
            <w:r w:rsidRPr="000E0945">
              <w:rPr>
                <w:rFonts w:ascii="Arial" w:hAnsi="Arial" w:cs="Arial"/>
                <w:sz w:val="20"/>
                <w:szCs w:val="20"/>
                <w:lang w:val="en-GB"/>
              </w:rPr>
              <w:t>FFS whether or not to additionally support a mixture of option 1 and option 2 for a groupcast transmission</w:t>
            </w:r>
            <w:r w:rsidRPr="00573CD2">
              <w:rPr>
                <w:rFonts w:ascii="Arial" w:eastAsia="DengXian" w:hAnsi="Arial"/>
                <w:lang w:val="en-GB" w:eastAsia="zh-CN"/>
              </w:rPr>
              <w:t xml:space="preserve"> </w:t>
            </w:r>
          </w:p>
        </w:tc>
      </w:tr>
    </w:tbl>
    <w:p w14:paraId="0F2E0269" w14:textId="77777777" w:rsidR="00B06F7C" w:rsidRDefault="00B06F7C" w:rsidP="00B06F7C">
      <w:pPr>
        <w:spacing w:after="0"/>
        <w:rPr>
          <w:rFonts w:eastAsia="Arial" w:cs="Arial"/>
        </w:rPr>
      </w:pPr>
    </w:p>
    <w:p w14:paraId="731F2D97" w14:textId="77777777" w:rsidR="00B06F7C" w:rsidRDefault="00B06F7C" w:rsidP="00B06F7C">
      <w:pPr>
        <w:spacing w:after="0"/>
        <w:rPr>
          <w:rFonts w:eastAsia="Arial" w:cs="Arial"/>
        </w:rPr>
      </w:pPr>
    </w:p>
    <w:p w14:paraId="0E24E395" w14:textId="77777777" w:rsidR="00B06F7C" w:rsidRPr="0057144E" w:rsidRDefault="00B06F7C" w:rsidP="00B06F7C">
      <w:pPr>
        <w:rPr>
          <w:rFonts w:cs="Arial"/>
          <w:lang w:val="en-US"/>
        </w:rPr>
      </w:pPr>
      <w:r w:rsidRPr="0057144E">
        <w:rPr>
          <w:rFonts w:cs="Arial"/>
          <w:lang w:val="en-US"/>
        </w:rPr>
        <w:t>In RAN1#9</w:t>
      </w:r>
      <w:r>
        <w:rPr>
          <w:rFonts w:eastAsia="Arial" w:cs="Arial"/>
          <w:lang w:val="en-US"/>
        </w:rPr>
        <w:t>7</w:t>
      </w:r>
      <w:r w:rsidRPr="0057144E">
        <w:rPr>
          <w:rFonts w:cs="Arial"/>
          <w:lang w:val="en-US"/>
        </w:rPr>
        <w:t>, the following</w:t>
      </w:r>
      <w:r>
        <w:rPr>
          <w:rFonts w:cs="Arial"/>
          <w:lang w:val="en-US"/>
        </w:rPr>
        <w:t xml:space="preserve"> regarding PSFCH allocation</w:t>
      </w:r>
      <w:r w:rsidRPr="0057144E">
        <w:rPr>
          <w:rFonts w:cs="Arial"/>
          <w:lang w:val="en-US"/>
        </w:rPr>
        <w:t xml:space="preserve"> has been </w:t>
      </w:r>
      <w:r>
        <w:rPr>
          <w:rFonts w:eastAsia="Arial" w:cs="Arial"/>
          <w:lang w:val="en-US"/>
        </w:rPr>
        <w:t xml:space="preserve">further </w:t>
      </w:r>
      <w:r w:rsidRPr="0057144E">
        <w:rPr>
          <w:rFonts w:cs="Arial"/>
          <w:lang w:val="en-US"/>
        </w:rPr>
        <w:t>agreed</w:t>
      </w:r>
      <w:r>
        <w:rPr>
          <w:rFonts w:eastAsia="Arial" w:cs="Arial"/>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57144E" w14:paraId="41A00461" w14:textId="77777777" w:rsidTr="001334C6">
        <w:tc>
          <w:tcPr>
            <w:tcW w:w="9855" w:type="dxa"/>
            <w:shd w:val="clear" w:color="auto" w:fill="auto"/>
          </w:tcPr>
          <w:p w14:paraId="383B89FF" w14:textId="77777777" w:rsidR="00B06F7C" w:rsidRPr="00FF529F" w:rsidRDefault="00B06F7C" w:rsidP="001334C6">
            <w:pPr>
              <w:rPr>
                <w:rFonts w:eastAsia="Arial" w:cs="Arial"/>
                <w:lang w:val="en-US"/>
              </w:rPr>
            </w:pPr>
            <w:r w:rsidRPr="00FF529F">
              <w:rPr>
                <w:rFonts w:eastAsia="Arial" w:cs="Arial"/>
                <w:highlight w:val="green"/>
                <w:lang w:val="en-US"/>
              </w:rPr>
              <w:t>Agreements:</w:t>
            </w:r>
          </w:p>
          <w:p w14:paraId="5F29BE52" w14:textId="77777777" w:rsidR="00B06F7C" w:rsidRPr="00FF529F" w:rsidRDefault="00B06F7C" w:rsidP="00B06F7C">
            <w:pPr>
              <w:numPr>
                <w:ilvl w:val="0"/>
                <w:numId w:val="40"/>
              </w:numPr>
              <w:spacing w:after="180"/>
              <w:jc w:val="left"/>
              <w:rPr>
                <w:rFonts w:eastAsia="Arial" w:cs="Arial"/>
                <w:lang w:val="en-US"/>
              </w:rPr>
            </w:pPr>
            <w:r w:rsidRPr="00FF529F">
              <w:rPr>
                <w:rFonts w:eastAsia="Arial" w:cs="Arial"/>
                <w:lang w:val="en-US"/>
              </w:rPr>
              <w:t>At least for the case when the PSFCH in a slot is in response to a single PSSCH:</w:t>
            </w:r>
          </w:p>
          <w:p w14:paraId="5F7742F4" w14:textId="77777777" w:rsidR="00B06F7C" w:rsidRPr="00FF529F" w:rsidRDefault="00B06F7C" w:rsidP="00B06F7C">
            <w:pPr>
              <w:numPr>
                <w:ilvl w:val="1"/>
                <w:numId w:val="40"/>
              </w:numPr>
              <w:spacing w:after="180"/>
              <w:jc w:val="left"/>
              <w:rPr>
                <w:rFonts w:eastAsia="Arial" w:cs="Arial"/>
                <w:lang w:val="en-US"/>
              </w:rPr>
            </w:pPr>
            <w:r w:rsidRPr="0014051D">
              <w:rPr>
                <w:rFonts w:eastAsia="Arial" w:cs="Arial"/>
                <w:highlight w:val="yellow"/>
                <w:lang w:val="en-US"/>
              </w:rPr>
              <w:t>Implicit mechanism is used to determine at least frequency and/or code domain resource of PSFCH, within a configured resource pool</w:t>
            </w:r>
            <w:r w:rsidRPr="00FF529F">
              <w:rPr>
                <w:rFonts w:eastAsia="Arial" w:cs="Arial"/>
                <w:lang w:val="en-US"/>
              </w:rPr>
              <w:t>. At least the following parameters are used in the implicit mechanism:</w:t>
            </w:r>
          </w:p>
          <w:p w14:paraId="7D506B72"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Slot index (FFS details) associated with PSCCH/PSSCH/PSFCH</w:t>
            </w:r>
          </w:p>
          <w:p w14:paraId="1136E855"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Sub-channel(s) (FFS details) associated with PSCCH/PSSCH</w:t>
            </w:r>
          </w:p>
          <w:p w14:paraId="027BB85C"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Identifier (FFS details) to distinguish each RX UE in a group for Option 2 groupcast HARQ feedback</w:t>
            </w:r>
          </w:p>
          <w:p w14:paraId="5F5C4CBB"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 xml:space="preserve">FFS detailed applicability of the above parameters </w:t>
            </w:r>
          </w:p>
          <w:p w14:paraId="72F87B53" w14:textId="77777777" w:rsidR="00B06F7C" w:rsidRPr="00CC5C3A" w:rsidRDefault="00B06F7C" w:rsidP="00B06F7C">
            <w:pPr>
              <w:numPr>
                <w:ilvl w:val="2"/>
                <w:numId w:val="40"/>
              </w:numPr>
              <w:spacing w:after="180"/>
              <w:jc w:val="left"/>
              <w:rPr>
                <w:rFonts w:eastAsia="Arial" w:cs="Arial"/>
                <w:lang w:val="en-US"/>
              </w:rPr>
            </w:pPr>
            <w:r w:rsidRPr="00FF529F">
              <w:rPr>
                <w:rFonts w:eastAsia="Arial" w:cs="Arial"/>
                <w:lang w:val="en-US"/>
              </w:rPr>
              <w:t>FFS: Other parameters (e.g. SL-RSRP/SINR, Layer-1 source ID, location information, etc.)</w:t>
            </w:r>
          </w:p>
        </w:tc>
      </w:tr>
    </w:tbl>
    <w:p w14:paraId="32D4E65D" w14:textId="77777777" w:rsidR="00B06F7C" w:rsidRDefault="00B06F7C" w:rsidP="00B06F7C">
      <w:pPr>
        <w:spacing w:after="0"/>
        <w:rPr>
          <w:rFonts w:eastAsia="DengXian"/>
        </w:rPr>
      </w:pPr>
    </w:p>
    <w:p w14:paraId="2C96518E" w14:textId="77777777" w:rsidR="00B06F7C" w:rsidRDefault="00B06F7C" w:rsidP="00B06F7C">
      <w:pPr>
        <w:spacing w:after="0"/>
        <w:rPr>
          <w:rFonts w:eastAsia="DengXian"/>
        </w:rPr>
      </w:pPr>
      <w:r>
        <w:rPr>
          <w:rFonts w:eastAsia="DengXian"/>
        </w:rPr>
        <w:t>In RAN2 #106 the following was agreed:</w:t>
      </w:r>
    </w:p>
    <w:p w14:paraId="1DC39146" w14:textId="77777777" w:rsidR="00B06F7C" w:rsidRDefault="00B06F7C" w:rsidP="00B06F7C">
      <w:pPr>
        <w:spacing w:after="0"/>
        <w:rPr>
          <w:rFonts w:eastAsia="DengXian"/>
        </w:rPr>
      </w:pPr>
    </w:p>
    <w:tbl>
      <w:tblPr>
        <w:tblStyle w:val="TableGrid"/>
        <w:tblW w:w="0" w:type="auto"/>
        <w:tblLook w:val="04A0" w:firstRow="1" w:lastRow="0" w:firstColumn="1" w:lastColumn="0" w:noHBand="0" w:noVBand="1"/>
      </w:tblPr>
      <w:tblGrid>
        <w:gridCol w:w="9629"/>
      </w:tblGrid>
      <w:tr w:rsidR="00B06F7C" w14:paraId="534C4894" w14:textId="77777777" w:rsidTr="001334C6">
        <w:tc>
          <w:tcPr>
            <w:tcW w:w="9629" w:type="dxa"/>
          </w:tcPr>
          <w:p w14:paraId="72A8F85A" w14:textId="77777777" w:rsidR="00B06F7C" w:rsidRDefault="00B06F7C" w:rsidP="001334C6">
            <w:pPr>
              <w:spacing w:after="0"/>
              <w:rPr>
                <w:rFonts w:eastAsia="DengXian"/>
              </w:rPr>
            </w:pPr>
          </w:p>
          <w:p w14:paraId="574C914D" w14:textId="77777777" w:rsidR="00B06F7C" w:rsidRDefault="00B06F7C" w:rsidP="001334C6">
            <w:pPr>
              <w:rPr>
                <w:rFonts w:eastAsia="Arial" w:cs="Arial"/>
              </w:rPr>
            </w:pPr>
            <w:r>
              <w:rPr>
                <w:noProof/>
              </w:rPr>
              <w:t>In order to support Option1, no additional AS layer co-ordination or signalling for HARQ feedback resource allocation within the group is required.</w:t>
            </w:r>
            <w:r>
              <w:rPr>
                <w:rFonts w:eastAsia="Malgun Gothic" w:cs="Arial"/>
                <w:lang w:val="en-US" w:eastAsia="ko-KR"/>
              </w:rPr>
              <w:t xml:space="preserve"> </w:t>
            </w:r>
          </w:p>
          <w:p w14:paraId="2F6F1383" w14:textId="77777777" w:rsidR="00B06F7C" w:rsidRDefault="00B06F7C" w:rsidP="001334C6">
            <w:pPr>
              <w:spacing w:after="0"/>
              <w:rPr>
                <w:rFonts w:eastAsia="DengXian"/>
              </w:rPr>
            </w:pPr>
          </w:p>
        </w:tc>
      </w:tr>
    </w:tbl>
    <w:p w14:paraId="76E4140B" w14:textId="77777777" w:rsidR="00B06F7C" w:rsidRPr="000B3AAB" w:rsidRDefault="00B06F7C" w:rsidP="00B06F7C">
      <w:pPr>
        <w:pStyle w:val="Reference"/>
        <w:numPr>
          <w:ilvl w:val="0"/>
          <w:numId w:val="0"/>
        </w:numPr>
        <w:overflowPunct/>
        <w:autoSpaceDE/>
        <w:autoSpaceDN/>
        <w:adjustRightInd/>
        <w:spacing w:line="259" w:lineRule="auto"/>
        <w:textAlignment w:val="auto"/>
        <w:rPr>
          <w:lang w:val="en-US"/>
        </w:rPr>
      </w:pPr>
    </w:p>
    <w:bookmarkEnd w:id="66"/>
    <w:bookmarkEnd w:id="67"/>
    <w:p w14:paraId="426EA874" w14:textId="77777777" w:rsidR="007B3713" w:rsidRPr="005324E3" w:rsidRDefault="007B3713" w:rsidP="00201BEF">
      <w:pPr>
        <w:rPr>
          <w:rFonts w:cs="Arial"/>
          <w:lang w:val="en-US"/>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D3090" w14:textId="77777777" w:rsidR="00425A76" w:rsidRDefault="00425A76">
      <w:pPr>
        <w:spacing w:after="0"/>
      </w:pPr>
      <w:r>
        <w:separator/>
      </w:r>
    </w:p>
  </w:endnote>
  <w:endnote w:type="continuationSeparator" w:id="0">
    <w:p w14:paraId="0D634B97" w14:textId="77777777" w:rsidR="00425A76" w:rsidRDefault="00425A76">
      <w:pPr>
        <w:spacing w:after="0"/>
      </w:pPr>
      <w:r>
        <w:continuationSeparator/>
      </w:r>
    </w:p>
  </w:endnote>
  <w:endnote w:type="continuationNotice" w:id="1">
    <w:p w14:paraId="7F484CAE" w14:textId="77777777" w:rsidR="00425A76" w:rsidRDefault="00425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D4478" w:rsidRDefault="00EC57CC" w:rsidP="003D447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6F647" w14:textId="77777777" w:rsidR="00425A76" w:rsidRDefault="00425A76">
      <w:pPr>
        <w:spacing w:after="0"/>
      </w:pPr>
      <w:r>
        <w:separator/>
      </w:r>
    </w:p>
  </w:footnote>
  <w:footnote w:type="continuationSeparator" w:id="0">
    <w:p w14:paraId="20E14F6A" w14:textId="77777777" w:rsidR="00425A76" w:rsidRDefault="00425A76">
      <w:pPr>
        <w:spacing w:after="0"/>
      </w:pPr>
      <w:r>
        <w:continuationSeparator/>
      </w:r>
    </w:p>
  </w:footnote>
  <w:footnote w:type="continuationNotice" w:id="1">
    <w:p w14:paraId="4F08F965" w14:textId="77777777" w:rsidR="00425A76" w:rsidRDefault="00425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D4478"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655A5"/>
    <w:multiLevelType w:val="hybridMultilevel"/>
    <w:tmpl w:val="CC88182C"/>
    <w:lvl w:ilvl="0" w:tplc="04090001">
      <w:start w:val="1"/>
      <w:numFmt w:val="bullet"/>
      <w:lvlText w:val=""/>
      <w:lvlJc w:val="left"/>
      <w:pPr>
        <w:tabs>
          <w:tab w:val="num" w:pos="720"/>
        </w:tabs>
        <w:ind w:left="720" w:hanging="360"/>
      </w:pPr>
      <w:rPr>
        <w:rFonts w:ascii="Symbol" w:hAnsi="Symbol" w:hint="default"/>
      </w:rPr>
    </w:lvl>
    <w:lvl w:ilvl="1" w:tplc="F2EA8ACC" w:tentative="1">
      <w:start w:val="1"/>
      <w:numFmt w:val="bullet"/>
      <w:lvlText w:val="—"/>
      <w:lvlJc w:val="left"/>
      <w:pPr>
        <w:tabs>
          <w:tab w:val="num" w:pos="1440"/>
        </w:tabs>
        <w:ind w:left="1440" w:hanging="360"/>
      </w:pPr>
      <w:rPr>
        <w:rFonts w:ascii="Ericsson Hilda Light" w:hAnsi="Ericsson Hilda Light" w:hint="default"/>
      </w:rPr>
    </w:lvl>
    <w:lvl w:ilvl="2" w:tplc="449C8680" w:tentative="1">
      <w:start w:val="1"/>
      <w:numFmt w:val="bullet"/>
      <w:lvlText w:val="—"/>
      <w:lvlJc w:val="left"/>
      <w:pPr>
        <w:tabs>
          <w:tab w:val="num" w:pos="2160"/>
        </w:tabs>
        <w:ind w:left="2160" w:hanging="360"/>
      </w:pPr>
      <w:rPr>
        <w:rFonts w:ascii="Ericsson Hilda Light" w:hAnsi="Ericsson Hilda Light" w:hint="default"/>
      </w:rPr>
    </w:lvl>
    <w:lvl w:ilvl="3" w:tplc="749884FC" w:tentative="1">
      <w:start w:val="1"/>
      <w:numFmt w:val="bullet"/>
      <w:lvlText w:val="—"/>
      <w:lvlJc w:val="left"/>
      <w:pPr>
        <w:tabs>
          <w:tab w:val="num" w:pos="2880"/>
        </w:tabs>
        <w:ind w:left="2880" w:hanging="360"/>
      </w:pPr>
      <w:rPr>
        <w:rFonts w:ascii="Ericsson Hilda Light" w:hAnsi="Ericsson Hilda Light" w:hint="default"/>
      </w:rPr>
    </w:lvl>
    <w:lvl w:ilvl="4" w:tplc="5DC6CD08" w:tentative="1">
      <w:start w:val="1"/>
      <w:numFmt w:val="bullet"/>
      <w:lvlText w:val="—"/>
      <w:lvlJc w:val="left"/>
      <w:pPr>
        <w:tabs>
          <w:tab w:val="num" w:pos="3600"/>
        </w:tabs>
        <w:ind w:left="3600" w:hanging="360"/>
      </w:pPr>
      <w:rPr>
        <w:rFonts w:ascii="Ericsson Hilda Light" w:hAnsi="Ericsson Hilda Light" w:hint="default"/>
      </w:rPr>
    </w:lvl>
    <w:lvl w:ilvl="5" w:tplc="4A96ADB8" w:tentative="1">
      <w:start w:val="1"/>
      <w:numFmt w:val="bullet"/>
      <w:lvlText w:val="—"/>
      <w:lvlJc w:val="left"/>
      <w:pPr>
        <w:tabs>
          <w:tab w:val="num" w:pos="4320"/>
        </w:tabs>
        <w:ind w:left="4320" w:hanging="360"/>
      </w:pPr>
      <w:rPr>
        <w:rFonts w:ascii="Ericsson Hilda Light" w:hAnsi="Ericsson Hilda Light" w:hint="default"/>
      </w:rPr>
    </w:lvl>
    <w:lvl w:ilvl="6" w:tplc="1B1A1916" w:tentative="1">
      <w:start w:val="1"/>
      <w:numFmt w:val="bullet"/>
      <w:lvlText w:val="—"/>
      <w:lvlJc w:val="left"/>
      <w:pPr>
        <w:tabs>
          <w:tab w:val="num" w:pos="5040"/>
        </w:tabs>
        <w:ind w:left="5040" w:hanging="360"/>
      </w:pPr>
      <w:rPr>
        <w:rFonts w:ascii="Ericsson Hilda Light" w:hAnsi="Ericsson Hilda Light" w:hint="default"/>
      </w:rPr>
    </w:lvl>
    <w:lvl w:ilvl="7" w:tplc="B072A7F0" w:tentative="1">
      <w:start w:val="1"/>
      <w:numFmt w:val="bullet"/>
      <w:lvlText w:val="—"/>
      <w:lvlJc w:val="left"/>
      <w:pPr>
        <w:tabs>
          <w:tab w:val="num" w:pos="5760"/>
        </w:tabs>
        <w:ind w:left="5760" w:hanging="360"/>
      </w:pPr>
      <w:rPr>
        <w:rFonts w:ascii="Ericsson Hilda Light" w:hAnsi="Ericsson Hilda Light" w:hint="default"/>
      </w:rPr>
    </w:lvl>
    <w:lvl w:ilvl="8" w:tplc="50A8932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48649FB"/>
    <w:multiLevelType w:val="hybridMultilevel"/>
    <w:tmpl w:val="BDAC1AF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9A41F7"/>
    <w:multiLevelType w:val="hybridMultilevel"/>
    <w:tmpl w:val="0312489E"/>
    <w:lvl w:ilvl="0" w:tplc="F110B534">
      <w:numFmt w:val="bullet"/>
      <w:lvlText w:val="-"/>
      <w:lvlJc w:val="left"/>
      <w:pPr>
        <w:ind w:left="720" w:hanging="360"/>
      </w:pPr>
      <w:rPr>
        <w:rFonts w:ascii="Arial" w:eastAsia="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774ABE"/>
    <w:multiLevelType w:val="hybridMultilevel"/>
    <w:tmpl w:val="3EA82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0042C8"/>
    <w:multiLevelType w:val="hybridMultilevel"/>
    <w:tmpl w:val="7AD4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C7C"/>
    <w:multiLevelType w:val="hybridMultilevel"/>
    <w:tmpl w:val="6938E200"/>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C2B6470"/>
    <w:multiLevelType w:val="hybridMultilevel"/>
    <w:tmpl w:val="D5B0704E"/>
    <w:lvl w:ilvl="0" w:tplc="4CCEDFDE">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D091FB1"/>
    <w:multiLevelType w:val="hybridMultilevel"/>
    <w:tmpl w:val="1F7AE548"/>
    <w:lvl w:ilvl="0" w:tplc="E07C9212">
      <w:start w:val="1"/>
      <w:numFmt w:val="lowerLetter"/>
      <w:lvlText w:val="%1."/>
      <w:lvlJc w:val="left"/>
      <w:pPr>
        <w:ind w:left="720" w:hanging="360"/>
      </w:pPr>
      <w:rPr>
        <w:rFonts w:ascii="Arial" w:eastAsia="Times New Roman"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73701"/>
    <w:multiLevelType w:val="hybridMultilevel"/>
    <w:tmpl w:val="DC3EB3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04618D5"/>
    <w:multiLevelType w:val="hybridMultilevel"/>
    <w:tmpl w:val="C024DE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D86169"/>
    <w:multiLevelType w:val="hybridMultilevel"/>
    <w:tmpl w:val="8D42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05A2F"/>
    <w:multiLevelType w:val="hybridMultilevel"/>
    <w:tmpl w:val="16FE52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CF0760C"/>
    <w:multiLevelType w:val="hybridMultilevel"/>
    <w:tmpl w:val="0EF8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E0EBF"/>
    <w:multiLevelType w:val="hybridMultilevel"/>
    <w:tmpl w:val="BC36DA4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ED001EE"/>
    <w:multiLevelType w:val="hybridMultilevel"/>
    <w:tmpl w:val="849A99EA"/>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28D4AF8"/>
    <w:multiLevelType w:val="hybridMultilevel"/>
    <w:tmpl w:val="884AF6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6BE1D70"/>
    <w:multiLevelType w:val="hybridMultilevel"/>
    <w:tmpl w:val="0C2AFA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F33AA"/>
    <w:multiLevelType w:val="hybridMultilevel"/>
    <w:tmpl w:val="E6920D66"/>
    <w:lvl w:ilvl="0" w:tplc="813A2FF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4ECB0011"/>
    <w:multiLevelType w:val="hybridMultilevel"/>
    <w:tmpl w:val="AFB412F0"/>
    <w:lvl w:ilvl="0" w:tplc="0E9A8ECC">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3904AC"/>
    <w:multiLevelType w:val="hybridMultilevel"/>
    <w:tmpl w:val="A716712C"/>
    <w:lvl w:ilvl="0" w:tplc="D7265A7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47F0A"/>
    <w:multiLevelType w:val="hybridMultilevel"/>
    <w:tmpl w:val="BFFCA7A6"/>
    <w:lvl w:ilvl="0" w:tplc="AF6C7840">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F761B"/>
    <w:multiLevelType w:val="hybridMultilevel"/>
    <w:tmpl w:val="89249B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0794980"/>
    <w:multiLevelType w:val="hybridMultilevel"/>
    <w:tmpl w:val="E304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71041"/>
    <w:multiLevelType w:val="hybridMultilevel"/>
    <w:tmpl w:val="88968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44638"/>
    <w:multiLevelType w:val="hybridMultilevel"/>
    <w:tmpl w:val="2A08D658"/>
    <w:lvl w:ilvl="0" w:tplc="04090019">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1922EBE"/>
    <w:multiLevelType w:val="hybridMultilevel"/>
    <w:tmpl w:val="C21645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AE00DF"/>
    <w:multiLevelType w:val="hybridMultilevel"/>
    <w:tmpl w:val="30429A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D090C8D"/>
    <w:multiLevelType w:val="hybridMultilevel"/>
    <w:tmpl w:val="6DFAA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43D89"/>
    <w:multiLevelType w:val="hybridMultilevel"/>
    <w:tmpl w:val="F2B0CD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E776C53"/>
    <w:multiLevelType w:val="hybridMultilevel"/>
    <w:tmpl w:val="D4C8984A"/>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22"/>
  </w:num>
  <w:num w:numId="3">
    <w:abstractNumId w:val="15"/>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6"/>
  </w:num>
  <w:num w:numId="8">
    <w:abstractNumId w:val="14"/>
  </w:num>
  <w:num w:numId="9">
    <w:abstractNumId w:val="13"/>
  </w:num>
  <w:num w:numId="10">
    <w:abstractNumId w:val="17"/>
  </w:num>
  <w:num w:numId="11">
    <w:abstractNumId w:val="1"/>
  </w:num>
  <w:num w:numId="12">
    <w:abstractNumId w:val="31"/>
  </w:num>
  <w:num w:numId="13">
    <w:abstractNumId w:val="38"/>
  </w:num>
  <w:num w:numId="14">
    <w:abstractNumId w:val="5"/>
  </w:num>
  <w:num w:numId="15">
    <w:abstractNumId w:val="23"/>
  </w:num>
  <w:num w:numId="16">
    <w:abstractNumId w:val="25"/>
  </w:num>
  <w:num w:numId="17">
    <w:abstractNumId w:val="27"/>
  </w:num>
  <w:num w:numId="18">
    <w:abstractNumId w:val="33"/>
  </w:num>
  <w:num w:numId="19">
    <w:abstractNumId w:val="29"/>
  </w:num>
  <w:num w:numId="20">
    <w:abstractNumId w:val="18"/>
  </w:num>
  <w:num w:numId="21">
    <w:abstractNumId w:val="19"/>
  </w:num>
  <w:num w:numId="22">
    <w:abstractNumId w:val="2"/>
  </w:num>
  <w:num w:numId="23">
    <w:abstractNumId w:val="40"/>
  </w:num>
  <w:num w:numId="24">
    <w:abstractNumId w:val="35"/>
  </w:num>
  <w:num w:numId="25">
    <w:abstractNumId w:val="32"/>
  </w:num>
  <w:num w:numId="26">
    <w:abstractNumId w:val="4"/>
  </w:num>
  <w:num w:numId="27">
    <w:abstractNumId w:val="30"/>
  </w:num>
  <w:num w:numId="28">
    <w:abstractNumId w:val="20"/>
  </w:num>
  <w:num w:numId="29">
    <w:abstractNumId w:val="39"/>
  </w:num>
  <w:num w:numId="30">
    <w:abstractNumId w:val="16"/>
  </w:num>
  <w:num w:numId="31">
    <w:abstractNumId w:val="11"/>
  </w:num>
  <w:num w:numId="32">
    <w:abstractNumId w:val="21"/>
  </w:num>
  <w:num w:numId="33">
    <w:abstractNumId w:val="37"/>
  </w:num>
  <w:num w:numId="34">
    <w:abstractNumId w:val="12"/>
  </w:num>
  <w:num w:numId="35">
    <w:abstractNumId w:val="3"/>
  </w:num>
  <w:num w:numId="36">
    <w:abstractNumId w:val="8"/>
  </w:num>
  <w:num w:numId="37">
    <w:abstractNumId w:val="9"/>
  </w:num>
  <w:num w:numId="38">
    <w:abstractNumId w:val="24"/>
  </w:num>
  <w:num w:numId="39">
    <w:abstractNumId w:val="10"/>
  </w:num>
  <w:num w:numId="40">
    <w:abstractNumId w:val="6"/>
  </w:num>
  <w:num w:numId="41">
    <w:abstractNumId w:val="3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2"/>
    <w:rsid w:val="00003A8F"/>
    <w:rsid w:val="00005429"/>
    <w:rsid w:val="0000562F"/>
    <w:rsid w:val="000060CC"/>
    <w:rsid w:val="000065E5"/>
    <w:rsid w:val="00014F28"/>
    <w:rsid w:val="00015A43"/>
    <w:rsid w:val="00016110"/>
    <w:rsid w:val="00020C61"/>
    <w:rsid w:val="0002113A"/>
    <w:rsid w:val="00021DF7"/>
    <w:rsid w:val="000221FE"/>
    <w:rsid w:val="000223DA"/>
    <w:rsid w:val="00023622"/>
    <w:rsid w:val="00023ED7"/>
    <w:rsid w:val="000246C7"/>
    <w:rsid w:val="00024EE9"/>
    <w:rsid w:val="00027AD8"/>
    <w:rsid w:val="0003722C"/>
    <w:rsid w:val="000400FE"/>
    <w:rsid w:val="000418CE"/>
    <w:rsid w:val="00042903"/>
    <w:rsid w:val="00042B0F"/>
    <w:rsid w:val="00043793"/>
    <w:rsid w:val="000444FB"/>
    <w:rsid w:val="00045FAE"/>
    <w:rsid w:val="000473BA"/>
    <w:rsid w:val="00047439"/>
    <w:rsid w:val="00047505"/>
    <w:rsid w:val="000525DC"/>
    <w:rsid w:val="0005398C"/>
    <w:rsid w:val="00053E10"/>
    <w:rsid w:val="0005457F"/>
    <w:rsid w:val="00056852"/>
    <w:rsid w:val="00063A64"/>
    <w:rsid w:val="00063B8E"/>
    <w:rsid w:val="000642A6"/>
    <w:rsid w:val="0006571C"/>
    <w:rsid w:val="0007205E"/>
    <w:rsid w:val="00073B47"/>
    <w:rsid w:val="000742C8"/>
    <w:rsid w:val="0007617C"/>
    <w:rsid w:val="0007622F"/>
    <w:rsid w:val="00081EE4"/>
    <w:rsid w:val="00082359"/>
    <w:rsid w:val="00082CEB"/>
    <w:rsid w:val="00084F43"/>
    <w:rsid w:val="000850EA"/>
    <w:rsid w:val="0008543E"/>
    <w:rsid w:val="00087262"/>
    <w:rsid w:val="00094BE9"/>
    <w:rsid w:val="00094C22"/>
    <w:rsid w:val="000957D1"/>
    <w:rsid w:val="000973EC"/>
    <w:rsid w:val="000A184E"/>
    <w:rsid w:val="000A195E"/>
    <w:rsid w:val="000A3DB8"/>
    <w:rsid w:val="000A4671"/>
    <w:rsid w:val="000A6B01"/>
    <w:rsid w:val="000A6DD2"/>
    <w:rsid w:val="000B0674"/>
    <w:rsid w:val="000B0A4E"/>
    <w:rsid w:val="000B38B2"/>
    <w:rsid w:val="000B3F18"/>
    <w:rsid w:val="000B4573"/>
    <w:rsid w:val="000B5A23"/>
    <w:rsid w:val="000B6439"/>
    <w:rsid w:val="000B7177"/>
    <w:rsid w:val="000C2A4B"/>
    <w:rsid w:val="000C56D1"/>
    <w:rsid w:val="000C5E87"/>
    <w:rsid w:val="000C6C94"/>
    <w:rsid w:val="000C6FB9"/>
    <w:rsid w:val="000D07A9"/>
    <w:rsid w:val="000D2DD9"/>
    <w:rsid w:val="000D384D"/>
    <w:rsid w:val="000D5B3E"/>
    <w:rsid w:val="000D7F15"/>
    <w:rsid w:val="000E1BDD"/>
    <w:rsid w:val="000E2E1D"/>
    <w:rsid w:val="000E3607"/>
    <w:rsid w:val="000E4236"/>
    <w:rsid w:val="000E5738"/>
    <w:rsid w:val="000E62C4"/>
    <w:rsid w:val="000E66D5"/>
    <w:rsid w:val="000F01EA"/>
    <w:rsid w:val="000F4830"/>
    <w:rsid w:val="000F6BF9"/>
    <w:rsid w:val="001002F7"/>
    <w:rsid w:val="00102129"/>
    <w:rsid w:val="001026E0"/>
    <w:rsid w:val="00102D7F"/>
    <w:rsid w:val="00112161"/>
    <w:rsid w:val="00113404"/>
    <w:rsid w:val="00113B7D"/>
    <w:rsid w:val="00113C9C"/>
    <w:rsid w:val="00113E8E"/>
    <w:rsid w:val="00114880"/>
    <w:rsid w:val="001152F0"/>
    <w:rsid w:val="0011699D"/>
    <w:rsid w:val="0011718B"/>
    <w:rsid w:val="001174B0"/>
    <w:rsid w:val="00120E2F"/>
    <w:rsid w:val="001250A5"/>
    <w:rsid w:val="001309A6"/>
    <w:rsid w:val="00131E41"/>
    <w:rsid w:val="00131F69"/>
    <w:rsid w:val="001366D2"/>
    <w:rsid w:val="00140CF4"/>
    <w:rsid w:val="001423C3"/>
    <w:rsid w:val="00144251"/>
    <w:rsid w:val="00146D27"/>
    <w:rsid w:val="00150772"/>
    <w:rsid w:val="00153C43"/>
    <w:rsid w:val="0015409E"/>
    <w:rsid w:val="00157BD7"/>
    <w:rsid w:val="00161A50"/>
    <w:rsid w:val="00163DBD"/>
    <w:rsid w:val="00164A9E"/>
    <w:rsid w:val="0016584E"/>
    <w:rsid w:val="001666B2"/>
    <w:rsid w:val="00171A30"/>
    <w:rsid w:val="00172A65"/>
    <w:rsid w:val="001762FD"/>
    <w:rsid w:val="00176407"/>
    <w:rsid w:val="00181DD3"/>
    <w:rsid w:val="00183B23"/>
    <w:rsid w:val="001855D2"/>
    <w:rsid w:val="00185C70"/>
    <w:rsid w:val="00186432"/>
    <w:rsid w:val="00186B56"/>
    <w:rsid w:val="0019035A"/>
    <w:rsid w:val="001908A6"/>
    <w:rsid w:val="00190E15"/>
    <w:rsid w:val="00191BCB"/>
    <w:rsid w:val="00193045"/>
    <w:rsid w:val="00193590"/>
    <w:rsid w:val="00194EEC"/>
    <w:rsid w:val="0019637F"/>
    <w:rsid w:val="001964AB"/>
    <w:rsid w:val="00196559"/>
    <w:rsid w:val="00196E03"/>
    <w:rsid w:val="00197051"/>
    <w:rsid w:val="001A0711"/>
    <w:rsid w:val="001A18B9"/>
    <w:rsid w:val="001A434E"/>
    <w:rsid w:val="001A716B"/>
    <w:rsid w:val="001A7CF5"/>
    <w:rsid w:val="001B48D5"/>
    <w:rsid w:val="001B4E6C"/>
    <w:rsid w:val="001B5E2F"/>
    <w:rsid w:val="001B60DA"/>
    <w:rsid w:val="001B78EB"/>
    <w:rsid w:val="001C0392"/>
    <w:rsid w:val="001C11C8"/>
    <w:rsid w:val="001C61C3"/>
    <w:rsid w:val="001D1840"/>
    <w:rsid w:val="001D1CAC"/>
    <w:rsid w:val="001D255E"/>
    <w:rsid w:val="001D2DEB"/>
    <w:rsid w:val="001D340B"/>
    <w:rsid w:val="001D3B97"/>
    <w:rsid w:val="001D5D87"/>
    <w:rsid w:val="001D64D7"/>
    <w:rsid w:val="001D7289"/>
    <w:rsid w:val="001E15C6"/>
    <w:rsid w:val="001E1AA1"/>
    <w:rsid w:val="001E3125"/>
    <w:rsid w:val="001E67B4"/>
    <w:rsid w:val="001E67DA"/>
    <w:rsid w:val="001E74EB"/>
    <w:rsid w:val="001F0076"/>
    <w:rsid w:val="001F03C5"/>
    <w:rsid w:val="001F22F1"/>
    <w:rsid w:val="001F322F"/>
    <w:rsid w:val="001F3552"/>
    <w:rsid w:val="001F3977"/>
    <w:rsid w:val="001F4312"/>
    <w:rsid w:val="001F7DFA"/>
    <w:rsid w:val="00200148"/>
    <w:rsid w:val="0020184C"/>
    <w:rsid w:val="00201BEF"/>
    <w:rsid w:val="00202AD1"/>
    <w:rsid w:val="00203CE6"/>
    <w:rsid w:val="00205195"/>
    <w:rsid w:val="002051C4"/>
    <w:rsid w:val="00207089"/>
    <w:rsid w:val="00210C3D"/>
    <w:rsid w:val="00213FD6"/>
    <w:rsid w:val="0021493B"/>
    <w:rsid w:val="00214A83"/>
    <w:rsid w:val="00216365"/>
    <w:rsid w:val="002201C2"/>
    <w:rsid w:val="0022077E"/>
    <w:rsid w:val="002208D1"/>
    <w:rsid w:val="00223AFB"/>
    <w:rsid w:val="002272FB"/>
    <w:rsid w:val="002303C0"/>
    <w:rsid w:val="00230B42"/>
    <w:rsid w:val="002357DF"/>
    <w:rsid w:val="00236EA9"/>
    <w:rsid w:val="0023734B"/>
    <w:rsid w:val="00237CD4"/>
    <w:rsid w:val="00241BE8"/>
    <w:rsid w:val="0024218E"/>
    <w:rsid w:val="00243F57"/>
    <w:rsid w:val="00244103"/>
    <w:rsid w:val="0024675E"/>
    <w:rsid w:val="00247E40"/>
    <w:rsid w:val="00252576"/>
    <w:rsid w:val="00252CC5"/>
    <w:rsid w:val="00254848"/>
    <w:rsid w:val="00254EF8"/>
    <w:rsid w:val="0025552A"/>
    <w:rsid w:val="00255881"/>
    <w:rsid w:val="002558B4"/>
    <w:rsid w:val="002565EB"/>
    <w:rsid w:val="00257CA7"/>
    <w:rsid w:val="00260941"/>
    <w:rsid w:val="00261545"/>
    <w:rsid w:val="00262476"/>
    <w:rsid w:val="00262BA8"/>
    <w:rsid w:val="002672DE"/>
    <w:rsid w:val="00270652"/>
    <w:rsid w:val="002709F4"/>
    <w:rsid w:val="00270EC5"/>
    <w:rsid w:val="002712DA"/>
    <w:rsid w:val="002722F6"/>
    <w:rsid w:val="00273BE4"/>
    <w:rsid w:val="00274078"/>
    <w:rsid w:val="0028096D"/>
    <w:rsid w:val="002841FE"/>
    <w:rsid w:val="002904E5"/>
    <w:rsid w:val="00291908"/>
    <w:rsid w:val="002931D0"/>
    <w:rsid w:val="00294069"/>
    <w:rsid w:val="002945C9"/>
    <w:rsid w:val="0029695C"/>
    <w:rsid w:val="00296AA3"/>
    <w:rsid w:val="00296B9C"/>
    <w:rsid w:val="00296F17"/>
    <w:rsid w:val="002971F7"/>
    <w:rsid w:val="002A26DA"/>
    <w:rsid w:val="002A4476"/>
    <w:rsid w:val="002A5584"/>
    <w:rsid w:val="002A692B"/>
    <w:rsid w:val="002B0610"/>
    <w:rsid w:val="002B08AA"/>
    <w:rsid w:val="002B2DEA"/>
    <w:rsid w:val="002B683F"/>
    <w:rsid w:val="002B69EE"/>
    <w:rsid w:val="002B7103"/>
    <w:rsid w:val="002C031F"/>
    <w:rsid w:val="002C47A4"/>
    <w:rsid w:val="002C5265"/>
    <w:rsid w:val="002C6475"/>
    <w:rsid w:val="002D31DA"/>
    <w:rsid w:val="002D37C0"/>
    <w:rsid w:val="002D39AF"/>
    <w:rsid w:val="002D4152"/>
    <w:rsid w:val="002D682E"/>
    <w:rsid w:val="002D76A2"/>
    <w:rsid w:val="002D76A3"/>
    <w:rsid w:val="002D7F5F"/>
    <w:rsid w:val="002E099B"/>
    <w:rsid w:val="002E1B0F"/>
    <w:rsid w:val="002E1D35"/>
    <w:rsid w:val="002E21B8"/>
    <w:rsid w:val="002E223F"/>
    <w:rsid w:val="002E3A4B"/>
    <w:rsid w:val="002E533E"/>
    <w:rsid w:val="002E67BC"/>
    <w:rsid w:val="002E7172"/>
    <w:rsid w:val="002F18A7"/>
    <w:rsid w:val="002F306D"/>
    <w:rsid w:val="002F4188"/>
    <w:rsid w:val="002F52C2"/>
    <w:rsid w:val="002F56F8"/>
    <w:rsid w:val="002F62B0"/>
    <w:rsid w:val="002F781A"/>
    <w:rsid w:val="00300DD2"/>
    <w:rsid w:val="003014F6"/>
    <w:rsid w:val="00304495"/>
    <w:rsid w:val="00304697"/>
    <w:rsid w:val="0030577C"/>
    <w:rsid w:val="00306098"/>
    <w:rsid w:val="00306FEA"/>
    <w:rsid w:val="00311774"/>
    <w:rsid w:val="00311AF6"/>
    <w:rsid w:val="00311F1E"/>
    <w:rsid w:val="00313558"/>
    <w:rsid w:val="0031612E"/>
    <w:rsid w:val="003166BB"/>
    <w:rsid w:val="00316E61"/>
    <w:rsid w:val="003179BF"/>
    <w:rsid w:val="00317A83"/>
    <w:rsid w:val="003238EE"/>
    <w:rsid w:val="00325E09"/>
    <w:rsid w:val="00326E0E"/>
    <w:rsid w:val="00327453"/>
    <w:rsid w:val="00330428"/>
    <w:rsid w:val="00333F6D"/>
    <w:rsid w:val="00335295"/>
    <w:rsid w:val="00336813"/>
    <w:rsid w:val="00340126"/>
    <w:rsid w:val="00340808"/>
    <w:rsid w:val="00340E3C"/>
    <w:rsid w:val="00341562"/>
    <w:rsid w:val="00341A0E"/>
    <w:rsid w:val="00344658"/>
    <w:rsid w:val="0034549C"/>
    <w:rsid w:val="00350F20"/>
    <w:rsid w:val="00351ED6"/>
    <w:rsid w:val="00353C1A"/>
    <w:rsid w:val="00357034"/>
    <w:rsid w:val="003577E8"/>
    <w:rsid w:val="0036046D"/>
    <w:rsid w:val="00361B2C"/>
    <w:rsid w:val="003630F1"/>
    <w:rsid w:val="003633DA"/>
    <w:rsid w:val="00364549"/>
    <w:rsid w:val="00364595"/>
    <w:rsid w:val="00365053"/>
    <w:rsid w:val="003667E8"/>
    <w:rsid w:val="003723B4"/>
    <w:rsid w:val="00372480"/>
    <w:rsid w:val="0037352B"/>
    <w:rsid w:val="00373AB2"/>
    <w:rsid w:val="00375407"/>
    <w:rsid w:val="0037551D"/>
    <w:rsid w:val="00377B7A"/>
    <w:rsid w:val="00377CDA"/>
    <w:rsid w:val="0038060D"/>
    <w:rsid w:val="00382B5F"/>
    <w:rsid w:val="0038381F"/>
    <w:rsid w:val="00385144"/>
    <w:rsid w:val="00385FB7"/>
    <w:rsid w:val="0038632E"/>
    <w:rsid w:val="0039306E"/>
    <w:rsid w:val="00393C65"/>
    <w:rsid w:val="00393D9C"/>
    <w:rsid w:val="00394992"/>
    <w:rsid w:val="00395305"/>
    <w:rsid w:val="00396019"/>
    <w:rsid w:val="00396650"/>
    <w:rsid w:val="003A0383"/>
    <w:rsid w:val="003A3C47"/>
    <w:rsid w:val="003A4234"/>
    <w:rsid w:val="003A49CC"/>
    <w:rsid w:val="003A641A"/>
    <w:rsid w:val="003A6F3B"/>
    <w:rsid w:val="003A789F"/>
    <w:rsid w:val="003B050D"/>
    <w:rsid w:val="003B0758"/>
    <w:rsid w:val="003B0ACC"/>
    <w:rsid w:val="003B339D"/>
    <w:rsid w:val="003B4485"/>
    <w:rsid w:val="003B6B34"/>
    <w:rsid w:val="003B7930"/>
    <w:rsid w:val="003B7A42"/>
    <w:rsid w:val="003B7A50"/>
    <w:rsid w:val="003C22DD"/>
    <w:rsid w:val="003C2573"/>
    <w:rsid w:val="003C3B3F"/>
    <w:rsid w:val="003C4E91"/>
    <w:rsid w:val="003C51F4"/>
    <w:rsid w:val="003C61D3"/>
    <w:rsid w:val="003C6586"/>
    <w:rsid w:val="003C77A0"/>
    <w:rsid w:val="003C7854"/>
    <w:rsid w:val="003D2B44"/>
    <w:rsid w:val="003D3DC3"/>
    <w:rsid w:val="003D3FA3"/>
    <w:rsid w:val="003D4478"/>
    <w:rsid w:val="003D5BD7"/>
    <w:rsid w:val="003D5EBD"/>
    <w:rsid w:val="003D67C4"/>
    <w:rsid w:val="003D6AE3"/>
    <w:rsid w:val="003E005C"/>
    <w:rsid w:val="003E1FDF"/>
    <w:rsid w:val="003E3A85"/>
    <w:rsid w:val="003E6082"/>
    <w:rsid w:val="003F172E"/>
    <w:rsid w:val="003F35B7"/>
    <w:rsid w:val="003F5398"/>
    <w:rsid w:val="003F57AE"/>
    <w:rsid w:val="003F69FD"/>
    <w:rsid w:val="003F6C4B"/>
    <w:rsid w:val="00401D60"/>
    <w:rsid w:val="0040430C"/>
    <w:rsid w:val="00405361"/>
    <w:rsid w:val="00407066"/>
    <w:rsid w:val="0041171F"/>
    <w:rsid w:val="00411765"/>
    <w:rsid w:val="00412E64"/>
    <w:rsid w:val="00413ACE"/>
    <w:rsid w:val="00413BA4"/>
    <w:rsid w:val="00420D26"/>
    <w:rsid w:val="00422B9F"/>
    <w:rsid w:val="004234CD"/>
    <w:rsid w:val="0042586A"/>
    <w:rsid w:val="00425A76"/>
    <w:rsid w:val="00426786"/>
    <w:rsid w:val="00430722"/>
    <w:rsid w:val="00431765"/>
    <w:rsid w:val="00433EA7"/>
    <w:rsid w:val="00434608"/>
    <w:rsid w:val="00437EDE"/>
    <w:rsid w:val="00437F6B"/>
    <w:rsid w:val="00442AAF"/>
    <w:rsid w:val="00443BAE"/>
    <w:rsid w:val="00445476"/>
    <w:rsid w:val="00446842"/>
    <w:rsid w:val="00447F6B"/>
    <w:rsid w:val="0045089B"/>
    <w:rsid w:val="00452EB1"/>
    <w:rsid w:val="004542E9"/>
    <w:rsid w:val="00454AE0"/>
    <w:rsid w:val="00454D3A"/>
    <w:rsid w:val="00455430"/>
    <w:rsid w:val="0046187B"/>
    <w:rsid w:val="004624FA"/>
    <w:rsid w:val="0046393C"/>
    <w:rsid w:val="00463ED5"/>
    <w:rsid w:val="00464390"/>
    <w:rsid w:val="00465583"/>
    <w:rsid w:val="00465CEC"/>
    <w:rsid w:val="00467351"/>
    <w:rsid w:val="00470F0C"/>
    <w:rsid w:val="00471694"/>
    <w:rsid w:val="00471749"/>
    <w:rsid w:val="004729F9"/>
    <w:rsid w:val="00473B34"/>
    <w:rsid w:val="004751E7"/>
    <w:rsid w:val="00475477"/>
    <w:rsid w:val="00475F8A"/>
    <w:rsid w:val="004775A1"/>
    <w:rsid w:val="004812A1"/>
    <w:rsid w:val="0048350D"/>
    <w:rsid w:val="00485A27"/>
    <w:rsid w:val="00486CC4"/>
    <w:rsid w:val="00487578"/>
    <w:rsid w:val="004930FB"/>
    <w:rsid w:val="00495273"/>
    <w:rsid w:val="004A1A9D"/>
    <w:rsid w:val="004A1F9B"/>
    <w:rsid w:val="004A5BB7"/>
    <w:rsid w:val="004A725D"/>
    <w:rsid w:val="004B0293"/>
    <w:rsid w:val="004B0578"/>
    <w:rsid w:val="004B0832"/>
    <w:rsid w:val="004B1DB8"/>
    <w:rsid w:val="004B215C"/>
    <w:rsid w:val="004B425D"/>
    <w:rsid w:val="004B4571"/>
    <w:rsid w:val="004B6B59"/>
    <w:rsid w:val="004B770D"/>
    <w:rsid w:val="004C06F5"/>
    <w:rsid w:val="004C22EB"/>
    <w:rsid w:val="004C3C98"/>
    <w:rsid w:val="004C4D12"/>
    <w:rsid w:val="004D0197"/>
    <w:rsid w:val="004D273C"/>
    <w:rsid w:val="004D2A09"/>
    <w:rsid w:val="004D37BB"/>
    <w:rsid w:val="004D40B3"/>
    <w:rsid w:val="004D4A9D"/>
    <w:rsid w:val="004E0018"/>
    <w:rsid w:val="004E0E81"/>
    <w:rsid w:val="004E1173"/>
    <w:rsid w:val="004E13C4"/>
    <w:rsid w:val="004E1501"/>
    <w:rsid w:val="004E6926"/>
    <w:rsid w:val="004E6F77"/>
    <w:rsid w:val="004E751E"/>
    <w:rsid w:val="004F09B6"/>
    <w:rsid w:val="004F262A"/>
    <w:rsid w:val="004F6DA5"/>
    <w:rsid w:val="004F6F38"/>
    <w:rsid w:val="004F74AC"/>
    <w:rsid w:val="004F7739"/>
    <w:rsid w:val="004F7A72"/>
    <w:rsid w:val="004F7E61"/>
    <w:rsid w:val="00500624"/>
    <w:rsid w:val="00500EC7"/>
    <w:rsid w:val="0050138F"/>
    <w:rsid w:val="00503B26"/>
    <w:rsid w:val="0050644F"/>
    <w:rsid w:val="00510EB1"/>
    <w:rsid w:val="00511261"/>
    <w:rsid w:val="00511390"/>
    <w:rsid w:val="005157F9"/>
    <w:rsid w:val="005162AF"/>
    <w:rsid w:val="00516806"/>
    <w:rsid w:val="005169B1"/>
    <w:rsid w:val="0051713A"/>
    <w:rsid w:val="005219AB"/>
    <w:rsid w:val="00524C89"/>
    <w:rsid w:val="0052556A"/>
    <w:rsid w:val="005268BB"/>
    <w:rsid w:val="0052777C"/>
    <w:rsid w:val="005324E3"/>
    <w:rsid w:val="00534568"/>
    <w:rsid w:val="00537284"/>
    <w:rsid w:val="00537D9A"/>
    <w:rsid w:val="00540BB6"/>
    <w:rsid w:val="00543FD5"/>
    <w:rsid w:val="0054572D"/>
    <w:rsid w:val="00545D10"/>
    <w:rsid w:val="0055037D"/>
    <w:rsid w:val="00551BD7"/>
    <w:rsid w:val="00551EC0"/>
    <w:rsid w:val="00552CBF"/>
    <w:rsid w:val="00552D66"/>
    <w:rsid w:val="0055406A"/>
    <w:rsid w:val="00554A1A"/>
    <w:rsid w:val="00556D8C"/>
    <w:rsid w:val="00564B2B"/>
    <w:rsid w:val="0056732E"/>
    <w:rsid w:val="00575F4F"/>
    <w:rsid w:val="00580137"/>
    <w:rsid w:val="00582006"/>
    <w:rsid w:val="0058340D"/>
    <w:rsid w:val="005855F8"/>
    <w:rsid w:val="005859D6"/>
    <w:rsid w:val="00585B50"/>
    <w:rsid w:val="005861CF"/>
    <w:rsid w:val="00586414"/>
    <w:rsid w:val="00586756"/>
    <w:rsid w:val="00591463"/>
    <w:rsid w:val="005927FE"/>
    <w:rsid w:val="005959EA"/>
    <w:rsid w:val="00596467"/>
    <w:rsid w:val="005978B0"/>
    <w:rsid w:val="005A26B5"/>
    <w:rsid w:val="005A3CDE"/>
    <w:rsid w:val="005A40E4"/>
    <w:rsid w:val="005A41B4"/>
    <w:rsid w:val="005A5499"/>
    <w:rsid w:val="005A7DD6"/>
    <w:rsid w:val="005B1C2B"/>
    <w:rsid w:val="005B2DE5"/>
    <w:rsid w:val="005B4476"/>
    <w:rsid w:val="005B537E"/>
    <w:rsid w:val="005B6271"/>
    <w:rsid w:val="005C1BA7"/>
    <w:rsid w:val="005C4F6A"/>
    <w:rsid w:val="005C52AF"/>
    <w:rsid w:val="005C7792"/>
    <w:rsid w:val="005C7A09"/>
    <w:rsid w:val="005D0F14"/>
    <w:rsid w:val="005D10CA"/>
    <w:rsid w:val="005D209C"/>
    <w:rsid w:val="005D29CA"/>
    <w:rsid w:val="005D39AC"/>
    <w:rsid w:val="005D3A2F"/>
    <w:rsid w:val="005D3C0B"/>
    <w:rsid w:val="005D43A8"/>
    <w:rsid w:val="005D72CB"/>
    <w:rsid w:val="005D7B0A"/>
    <w:rsid w:val="005E0FCA"/>
    <w:rsid w:val="005E3D86"/>
    <w:rsid w:val="005E5640"/>
    <w:rsid w:val="005E7DF7"/>
    <w:rsid w:val="005F3D07"/>
    <w:rsid w:val="005F4C0E"/>
    <w:rsid w:val="005F6293"/>
    <w:rsid w:val="005F7BA5"/>
    <w:rsid w:val="005F7C15"/>
    <w:rsid w:val="005F7C81"/>
    <w:rsid w:val="005F7FDC"/>
    <w:rsid w:val="00600F88"/>
    <w:rsid w:val="006068E7"/>
    <w:rsid w:val="00612B48"/>
    <w:rsid w:val="006133B0"/>
    <w:rsid w:val="00613A3A"/>
    <w:rsid w:val="00615C6E"/>
    <w:rsid w:val="00622D37"/>
    <w:rsid w:val="00623806"/>
    <w:rsid w:val="00623D6F"/>
    <w:rsid w:val="00624113"/>
    <w:rsid w:val="00625F2B"/>
    <w:rsid w:val="00627179"/>
    <w:rsid w:val="00636D7A"/>
    <w:rsid w:val="00637608"/>
    <w:rsid w:val="0064422E"/>
    <w:rsid w:val="00644733"/>
    <w:rsid w:val="00647EEE"/>
    <w:rsid w:val="0065080D"/>
    <w:rsid w:val="00652C16"/>
    <w:rsid w:val="00653289"/>
    <w:rsid w:val="00656EF9"/>
    <w:rsid w:val="006575C1"/>
    <w:rsid w:val="006579CC"/>
    <w:rsid w:val="00657AEE"/>
    <w:rsid w:val="0066028E"/>
    <w:rsid w:val="00661859"/>
    <w:rsid w:val="00663A27"/>
    <w:rsid w:val="006652E0"/>
    <w:rsid w:val="00665BDE"/>
    <w:rsid w:val="00665E51"/>
    <w:rsid w:val="00665EFD"/>
    <w:rsid w:val="006718D3"/>
    <w:rsid w:val="00676111"/>
    <w:rsid w:val="00677C14"/>
    <w:rsid w:val="00677C3D"/>
    <w:rsid w:val="00680083"/>
    <w:rsid w:val="0068041F"/>
    <w:rsid w:val="00680CFD"/>
    <w:rsid w:val="0068309D"/>
    <w:rsid w:val="00683395"/>
    <w:rsid w:val="0068345D"/>
    <w:rsid w:val="006849AF"/>
    <w:rsid w:val="00684D80"/>
    <w:rsid w:val="00684FD5"/>
    <w:rsid w:val="00687DB5"/>
    <w:rsid w:val="00687F50"/>
    <w:rsid w:val="00691628"/>
    <w:rsid w:val="006923F8"/>
    <w:rsid w:val="00693FE8"/>
    <w:rsid w:val="006945C7"/>
    <w:rsid w:val="006951A0"/>
    <w:rsid w:val="00695DC4"/>
    <w:rsid w:val="0069679B"/>
    <w:rsid w:val="00697412"/>
    <w:rsid w:val="0069767D"/>
    <w:rsid w:val="0069798E"/>
    <w:rsid w:val="00697A61"/>
    <w:rsid w:val="006A0728"/>
    <w:rsid w:val="006A11A5"/>
    <w:rsid w:val="006A1BC5"/>
    <w:rsid w:val="006A30B1"/>
    <w:rsid w:val="006A369D"/>
    <w:rsid w:val="006A3E4E"/>
    <w:rsid w:val="006A49FB"/>
    <w:rsid w:val="006A4DB5"/>
    <w:rsid w:val="006A5B1B"/>
    <w:rsid w:val="006A5C7D"/>
    <w:rsid w:val="006A690A"/>
    <w:rsid w:val="006A7573"/>
    <w:rsid w:val="006B1C91"/>
    <w:rsid w:val="006B2C74"/>
    <w:rsid w:val="006C05E2"/>
    <w:rsid w:val="006C1E69"/>
    <w:rsid w:val="006C7667"/>
    <w:rsid w:val="006C7AA8"/>
    <w:rsid w:val="006D095E"/>
    <w:rsid w:val="006D12CF"/>
    <w:rsid w:val="006D4F56"/>
    <w:rsid w:val="006D7EC3"/>
    <w:rsid w:val="006E066D"/>
    <w:rsid w:val="006E332D"/>
    <w:rsid w:val="006E4417"/>
    <w:rsid w:val="006E4691"/>
    <w:rsid w:val="006E4E28"/>
    <w:rsid w:val="006E5BEF"/>
    <w:rsid w:val="006E7FC2"/>
    <w:rsid w:val="006F0D34"/>
    <w:rsid w:val="006F1288"/>
    <w:rsid w:val="006F2595"/>
    <w:rsid w:val="006F341F"/>
    <w:rsid w:val="006F3516"/>
    <w:rsid w:val="006F4146"/>
    <w:rsid w:val="006F509F"/>
    <w:rsid w:val="006F6F5D"/>
    <w:rsid w:val="006F7172"/>
    <w:rsid w:val="0070019D"/>
    <w:rsid w:val="00701C69"/>
    <w:rsid w:val="00703DD8"/>
    <w:rsid w:val="00704B70"/>
    <w:rsid w:val="00705417"/>
    <w:rsid w:val="00705BA5"/>
    <w:rsid w:val="007062D0"/>
    <w:rsid w:val="007077AA"/>
    <w:rsid w:val="0071185B"/>
    <w:rsid w:val="007125DA"/>
    <w:rsid w:val="00714B15"/>
    <w:rsid w:val="007153BD"/>
    <w:rsid w:val="007228A7"/>
    <w:rsid w:val="007232A4"/>
    <w:rsid w:val="007232C8"/>
    <w:rsid w:val="007258CF"/>
    <w:rsid w:val="007265EA"/>
    <w:rsid w:val="00727EEC"/>
    <w:rsid w:val="00732C17"/>
    <w:rsid w:val="007340BC"/>
    <w:rsid w:val="0074065A"/>
    <w:rsid w:val="00746202"/>
    <w:rsid w:val="00747384"/>
    <w:rsid w:val="007475CC"/>
    <w:rsid w:val="00752953"/>
    <w:rsid w:val="007537D2"/>
    <w:rsid w:val="0076395F"/>
    <w:rsid w:val="00763AAE"/>
    <w:rsid w:val="00765F68"/>
    <w:rsid w:val="00767138"/>
    <w:rsid w:val="00767B2A"/>
    <w:rsid w:val="00770759"/>
    <w:rsid w:val="00771A49"/>
    <w:rsid w:val="00772B84"/>
    <w:rsid w:val="00772DA4"/>
    <w:rsid w:val="00773014"/>
    <w:rsid w:val="00773347"/>
    <w:rsid w:val="00775C60"/>
    <w:rsid w:val="00775C65"/>
    <w:rsid w:val="00780742"/>
    <w:rsid w:val="00780988"/>
    <w:rsid w:val="00781240"/>
    <w:rsid w:val="007815FA"/>
    <w:rsid w:val="00783DD0"/>
    <w:rsid w:val="00785380"/>
    <w:rsid w:val="007905BA"/>
    <w:rsid w:val="00790A16"/>
    <w:rsid w:val="00793DEE"/>
    <w:rsid w:val="00795C0B"/>
    <w:rsid w:val="007A06E4"/>
    <w:rsid w:val="007A0CE2"/>
    <w:rsid w:val="007A3619"/>
    <w:rsid w:val="007A49CA"/>
    <w:rsid w:val="007A6B8F"/>
    <w:rsid w:val="007A6B98"/>
    <w:rsid w:val="007B235C"/>
    <w:rsid w:val="007B2593"/>
    <w:rsid w:val="007B3713"/>
    <w:rsid w:val="007B3F2D"/>
    <w:rsid w:val="007B402E"/>
    <w:rsid w:val="007B48A0"/>
    <w:rsid w:val="007B5238"/>
    <w:rsid w:val="007C3DAC"/>
    <w:rsid w:val="007C4FC6"/>
    <w:rsid w:val="007C7168"/>
    <w:rsid w:val="007C7381"/>
    <w:rsid w:val="007D34EC"/>
    <w:rsid w:val="007D3FC8"/>
    <w:rsid w:val="007D40FF"/>
    <w:rsid w:val="007D496F"/>
    <w:rsid w:val="007D4E38"/>
    <w:rsid w:val="007D799F"/>
    <w:rsid w:val="007E1470"/>
    <w:rsid w:val="007E1B6E"/>
    <w:rsid w:val="007E2381"/>
    <w:rsid w:val="007E26E6"/>
    <w:rsid w:val="007E3382"/>
    <w:rsid w:val="007E37BA"/>
    <w:rsid w:val="007E3FD1"/>
    <w:rsid w:val="007E7D5A"/>
    <w:rsid w:val="007F405B"/>
    <w:rsid w:val="007F473E"/>
    <w:rsid w:val="007F64BA"/>
    <w:rsid w:val="007F6A24"/>
    <w:rsid w:val="00800248"/>
    <w:rsid w:val="00800BFA"/>
    <w:rsid w:val="008016F4"/>
    <w:rsid w:val="00801EBC"/>
    <w:rsid w:val="00802207"/>
    <w:rsid w:val="00802709"/>
    <w:rsid w:val="00803D0C"/>
    <w:rsid w:val="008041CA"/>
    <w:rsid w:val="00804B03"/>
    <w:rsid w:val="00805866"/>
    <w:rsid w:val="00811211"/>
    <w:rsid w:val="0081407A"/>
    <w:rsid w:val="00814668"/>
    <w:rsid w:val="00816C64"/>
    <w:rsid w:val="008174D6"/>
    <w:rsid w:val="00820226"/>
    <w:rsid w:val="008205C2"/>
    <w:rsid w:val="0082176A"/>
    <w:rsid w:val="008243CA"/>
    <w:rsid w:val="00825886"/>
    <w:rsid w:val="00825FC9"/>
    <w:rsid w:val="008267D0"/>
    <w:rsid w:val="00827C17"/>
    <w:rsid w:val="008308E8"/>
    <w:rsid w:val="00830B14"/>
    <w:rsid w:val="00831232"/>
    <w:rsid w:val="00833127"/>
    <w:rsid w:val="008352B3"/>
    <w:rsid w:val="00836763"/>
    <w:rsid w:val="00841D5A"/>
    <w:rsid w:val="00845E8B"/>
    <w:rsid w:val="008463E0"/>
    <w:rsid w:val="008471D1"/>
    <w:rsid w:val="00847A86"/>
    <w:rsid w:val="00851252"/>
    <w:rsid w:val="008516A4"/>
    <w:rsid w:val="008517C3"/>
    <w:rsid w:val="0085320C"/>
    <w:rsid w:val="00853576"/>
    <w:rsid w:val="0085373B"/>
    <w:rsid w:val="0085583F"/>
    <w:rsid w:val="008563A2"/>
    <w:rsid w:val="00860537"/>
    <w:rsid w:val="008622B5"/>
    <w:rsid w:val="00862C33"/>
    <w:rsid w:val="00864220"/>
    <w:rsid w:val="00866321"/>
    <w:rsid w:val="00866E48"/>
    <w:rsid w:val="00867A03"/>
    <w:rsid w:val="00871D18"/>
    <w:rsid w:val="00876966"/>
    <w:rsid w:val="00880CFA"/>
    <w:rsid w:val="00881E1A"/>
    <w:rsid w:val="00882556"/>
    <w:rsid w:val="00884197"/>
    <w:rsid w:val="00884DD8"/>
    <w:rsid w:val="00885312"/>
    <w:rsid w:val="00885E28"/>
    <w:rsid w:val="008919E8"/>
    <w:rsid w:val="00891E37"/>
    <w:rsid w:val="00893A7E"/>
    <w:rsid w:val="00897442"/>
    <w:rsid w:val="00897EED"/>
    <w:rsid w:val="008A15C8"/>
    <w:rsid w:val="008A2A82"/>
    <w:rsid w:val="008A3CDF"/>
    <w:rsid w:val="008A48B3"/>
    <w:rsid w:val="008B1E10"/>
    <w:rsid w:val="008C1635"/>
    <w:rsid w:val="008C20F3"/>
    <w:rsid w:val="008C440E"/>
    <w:rsid w:val="008C58E6"/>
    <w:rsid w:val="008C5A4B"/>
    <w:rsid w:val="008D0D22"/>
    <w:rsid w:val="008D0D9B"/>
    <w:rsid w:val="008D1392"/>
    <w:rsid w:val="008D15A8"/>
    <w:rsid w:val="008D15AE"/>
    <w:rsid w:val="008D2110"/>
    <w:rsid w:val="008D3F5E"/>
    <w:rsid w:val="008D6C38"/>
    <w:rsid w:val="008E0BF9"/>
    <w:rsid w:val="008E131A"/>
    <w:rsid w:val="008E14D4"/>
    <w:rsid w:val="008E1BE7"/>
    <w:rsid w:val="008E1E38"/>
    <w:rsid w:val="008E7595"/>
    <w:rsid w:val="008F1EBB"/>
    <w:rsid w:val="008F2393"/>
    <w:rsid w:val="008F27C6"/>
    <w:rsid w:val="008F42FB"/>
    <w:rsid w:val="008F5026"/>
    <w:rsid w:val="008F77A6"/>
    <w:rsid w:val="0090088C"/>
    <w:rsid w:val="00900FE8"/>
    <w:rsid w:val="00901AC0"/>
    <w:rsid w:val="00902512"/>
    <w:rsid w:val="00903040"/>
    <w:rsid w:val="0090388F"/>
    <w:rsid w:val="00903977"/>
    <w:rsid w:val="00904F2E"/>
    <w:rsid w:val="00905969"/>
    <w:rsid w:val="00905974"/>
    <w:rsid w:val="00905E79"/>
    <w:rsid w:val="009069C2"/>
    <w:rsid w:val="0090774F"/>
    <w:rsid w:val="009122EF"/>
    <w:rsid w:val="00914FEB"/>
    <w:rsid w:val="009161DA"/>
    <w:rsid w:val="00916687"/>
    <w:rsid w:val="00917760"/>
    <w:rsid w:val="0092245B"/>
    <w:rsid w:val="00924C28"/>
    <w:rsid w:val="009253E8"/>
    <w:rsid w:val="00925C1B"/>
    <w:rsid w:val="009275C3"/>
    <w:rsid w:val="009309F3"/>
    <w:rsid w:val="00930E23"/>
    <w:rsid w:val="009313F2"/>
    <w:rsid w:val="00934E31"/>
    <w:rsid w:val="009375AD"/>
    <w:rsid w:val="00942A76"/>
    <w:rsid w:val="00944B1A"/>
    <w:rsid w:val="0094538F"/>
    <w:rsid w:val="00950092"/>
    <w:rsid w:val="009527C6"/>
    <w:rsid w:val="00953520"/>
    <w:rsid w:val="00953E30"/>
    <w:rsid w:val="00957270"/>
    <w:rsid w:val="009628C8"/>
    <w:rsid w:val="00962AC4"/>
    <w:rsid w:val="00963344"/>
    <w:rsid w:val="00963E02"/>
    <w:rsid w:val="009652A2"/>
    <w:rsid w:val="009670D3"/>
    <w:rsid w:val="00974506"/>
    <w:rsid w:val="009745DC"/>
    <w:rsid w:val="0097460D"/>
    <w:rsid w:val="009756AE"/>
    <w:rsid w:val="009768E5"/>
    <w:rsid w:val="00976A86"/>
    <w:rsid w:val="00976C10"/>
    <w:rsid w:val="00983674"/>
    <w:rsid w:val="00983A70"/>
    <w:rsid w:val="0098413E"/>
    <w:rsid w:val="00986A11"/>
    <w:rsid w:val="00986AF8"/>
    <w:rsid w:val="00987DBB"/>
    <w:rsid w:val="009913F1"/>
    <w:rsid w:val="009924D1"/>
    <w:rsid w:val="00993692"/>
    <w:rsid w:val="00993DCB"/>
    <w:rsid w:val="009940F1"/>
    <w:rsid w:val="00995A6D"/>
    <w:rsid w:val="009A3459"/>
    <w:rsid w:val="009A3E45"/>
    <w:rsid w:val="009A448C"/>
    <w:rsid w:val="009A568D"/>
    <w:rsid w:val="009A5B85"/>
    <w:rsid w:val="009A750E"/>
    <w:rsid w:val="009B3988"/>
    <w:rsid w:val="009B51C8"/>
    <w:rsid w:val="009B5794"/>
    <w:rsid w:val="009B7A24"/>
    <w:rsid w:val="009C06A1"/>
    <w:rsid w:val="009C2312"/>
    <w:rsid w:val="009C3863"/>
    <w:rsid w:val="009C69AF"/>
    <w:rsid w:val="009C7135"/>
    <w:rsid w:val="009D0FFE"/>
    <w:rsid w:val="009D4B0A"/>
    <w:rsid w:val="009D5349"/>
    <w:rsid w:val="009D7002"/>
    <w:rsid w:val="009E0F5A"/>
    <w:rsid w:val="009E292B"/>
    <w:rsid w:val="009E2CE9"/>
    <w:rsid w:val="009E3E6F"/>
    <w:rsid w:val="009E4C2E"/>
    <w:rsid w:val="009E56B3"/>
    <w:rsid w:val="009F0AF6"/>
    <w:rsid w:val="009F271E"/>
    <w:rsid w:val="009F3051"/>
    <w:rsid w:val="009F6C3F"/>
    <w:rsid w:val="00A01251"/>
    <w:rsid w:val="00A0130D"/>
    <w:rsid w:val="00A02CA0"/>
    <w:rsid w:val="00A04450"/>
    <w:rsid w:val="00A06D2F"/>
    <w:rsid w:val="00A1082B"/>
    <w:rsid w:val="00A10DBA"/>
    <w:rsid w:val="00A11171"/>
    <w:rsid w:val="00A1413D"/>
    <w:rsid w:val="00A14427"/>
    <w:rsid w:val="00A1752F"/>
    <w:rsid w:val="00A201DA"/>
    <w:rsid w:val="00A205B9"/>
    <w:rsid w:val="00A20B11"/>
    <w:rsid w:val="00A20C5D"/>
    <w:rsid w:val="00A20FFE"/>
    <w:rsid w:val="00A216F6"/>
    <w:rsid w:val="00A21851"/>
    <w:rsid w:val="00A21A55"/>
    <w:rsid w:val="00A22A33"/>
    <w:rsid w:val="00A257AD"/>
    <w:rsid w:val="00A31C11"/>
    <w:rsid w:val="00A3204F"/>
    <w:rsid w:val="00A32844"/>
    <w:rsid w:val="00A34658"/>
    <w:rsid w:val="00A3512A"/>
    <w:rsid w:val="00A36825"/>
    <w:rsid w:val="00A36E10"/>
    <w:rsid w:val="00A4037C"/>
    <w:rsid w:val="00A406C4"/>
    <w:rsid w:val="00A418A7"/>
    <w:rsid w:val="00A41B80"/>
    <w:rsid w:val="00A437EF"/>
    <w:rsid w:val="00A446D2"/>
    <w:rsid w:val="00A449FC"/>
    <w:rsid w:val="00A44BCF"/>
    <w:rsid w:val="00A46A0D"/>
    <w:rsid w:val="00A52DD9"/>
    <w:rsid w:val="00A5379B"/>
    <w:rsid w:val="00A549A8"/>
    <w:rsid w:val="00A54A30"/>
    <w:rsid w:val="00A5597F"/>
    <w:rsid w:val="00A55C35"/>
    <w:rsid w:val="00A56982"/>
    <w:rsid w:val="00A5768B"/>
    <w:rsid w:val="00A60AFC"/>
    <w:rsid w:val="00A6149B"/>
    <w:rsid w:val="00A64AC7"/>
    <w:rsid w:val="00A64C4A"/>
    <w:rsid w:val="00A66A78"/>
    <w:rsid w:val="00A71315"/>
    <w:rsid w:val="00A71DBB"/>
    <w:rsid w:val="00A74050"/>
    <w:rsid w:val="00A74250"/>
    <w:rsid w:val="00A755B3"/>
    <w:rsid w:val="00A75CE5"/>
    <w:rsid w:val="00A76933"/>
    <w:rsid w:val="00A83DD3"/>
    <w:rsid w:val="00A85B8A"/>
    <w:rsid w:val="00A9104C"/>
    <w:rsid w:val="00A92121"/>
    <w:rsid w:val="00A929C5"/>
    <w:rsid w:val="00A94997"/>
    <w:rsid w:val="00A96210"/>
    <w:rsid w:val="00AA186E"/>
    <w:rsid w:val="00AA1B3A"/>
    <w:rsid w:val="00AA5EBB"/>
    <w:rsid w:val="00AA737A"/>
    <w:rsid w:val="00AA757F"/>
    <w:rsid w:val="00AB2A9F"/>
    <w:rsid w:val="00AB4383"/>
    <w:rsid w:val="00AB5666"/>
    <w:rsid w:val="00AB5D19"/>
    <w:rsid w:val="00AB6582"/>
    <w:rsid w:val="00AC3A8D"/>
    <w:rsid w:val="00AC6069"/>
    <w:rsid w:val="00AC6684"/>
    <w:rsid w:val="00AC6D00"/>
    <w:rsid w:val="00AC6D7D"/>
    <w:rsid w:val="00AC73E6"/>
    <w:rsid w:val="00AD05B8"/>
    <w:rsid w:val="00AD0866"/>
    <w:rsid w:val="00AD0A54"/>
    <w:rsid w:val="00AD2B63"/>
    <w:rsid w:val="00AD46B7"/>
    <w:rsid w:val="00AE179E"/>
    <w:rsid w:val="00AE2138"/>
    <w:rsid w:val="00AE2845"/>
    <w:rsid w:val="00AE2EBE"/>
    <w:rsid w:val="00AE4971"/>
    <w:rsid w:val="00AF0882"/>
    <w:rsid w:val="00AF1C62"/>
    <w:rsid w:val="00AF21C0"/>
    <w:rsid w:val="00AF40AC"/>
    <w:rsid w:val="00AF5EDE"/>
    <w:rsid w:val="00B01880"/>
    <w:rsid w:val="00B024B0"/>
    <w:rsid w:val="00B02797"/>
    <w:rsid w:val="00B03B68"/>
    <w:rsid w:val="00B05DD7"/>
    <w:rsid w:val="00B06D60"/>
    <w:rsid w:val="00B06F7C"/>
    <w:rsid w:val="00B075D4"/>
    <w:rsid w:val="00B1061C"/>
    <w:rsid w:val="00B13741"/>
    <w:rsid w:val="00B13EB0"/>
    <w:rsid w:val="00B1426E"/>
    <w:rsid w:val="00B16BFF"/>
    <w:rsid w:val="00B16E3A"/>
    <w:rsid w:val="00B2263D"/>
    <w:rsid w:val="00B24BCC"/>
    <w:rsid w:val="00B254FB"/>
    <w:rsid w:val="00B257ED"/>
    <w:rsid w:val="00B308CB"/>
    <w:rsid w:val="00B31856"/>
    <w:rsid w:val="00B324E8"/>
    <w:rsid w:val="00B32B92"/>
    <w:rsid w:val="00B32F7F"/>
    <w:rsid w:val="00B351B3"/>
    <w:rsid w:val="00B36A53"/>
    <w:rsid w:val="00B37B25"/>
    <w:rsid w:val="00B42808"/>
    <w:rsid w:val="00B47083"/>
    <w:rsid w:val="00B51159"/>
    <w:rsid w:val="00B531CB"/>
    <w:rsid w:val="00B53ADA"/>
    <w:rsid w:val="00B54B01"/>
    <w:rsid w:val="00B5558F"/>
    <w:rsid w:val="00B56C34"/>
    <w:rsid w:val="00B57264"/>
    <w:rsid w:val="00B621C7"/>
    <w:rsid w:val="00B6443C"/>
    <w:rsid w:val="00B64AC6"/>
    <w:rsid w:val="00B71F9D"/>
    <w:rsid w:val="00B72ABE"/>
    <w:rsid w:val="00B72B45"/>
    <w:rsid w:val="00B74F67"/>
    <w:rsid w:val="00B75D71"/>
    <w:rsid w:val="00B80EBC"/>
    <w:rsid w:val="00B824F5"/>
    <w:rsid w:val="00B8280A"/>
    <w:rsid w:val="00B83921"/>
    <w:rsid w:val="00B844EE"/>
    <w:rsid w:val="00B84E63"/>
    <w:rsid w:val="00B85A41"/>
    <w:rsid w:val="00B90D9B"/>
    <w:rsid w:val="00B93622"/>
    <w:rsid w:val="00B93FDC"/>
    <w:rsid w:val="00B95D7F"/>
    <w:rsid w:val="00B97503"/>
    <w:rsid w:val="00BA0125"/>
    <w:rsid w:val="00BA2338"/>
    <w:rsid w:val="00BA24A5"/>
    <w:rsid w:val="00BA698C"/>
    <w:rsid w:val="00BA744F"/>
    <w:rsid w:val="00BA7D39"/>
    <w:rsid w:val="00BB0C64"/>
    <w:rsid w:val="00BB1A18"/>
    <w:rsid w:val="00BB26F7"/>
    <w:rsid w:val="00BB3065"/>
    <w:rsid w:val="00BB55D5"/>
    <w:rsid w:val="00BB6444"/>
    <w:rsid w:val="00BB7D88"/>
    <w:rsid w:val="00BC0E4E"/>
    <w:rsid w:val="00BC0EAA"/>
    <w:rsid w:val="00BC1926"/>
    <w:rsid w:val="00BC1AE7"/>
    <w:rsid w:val="00BC2D87"/>
    <w:rsid w:val="00BC321D"/>
    <w:rsid w:val="00BC6250"/>
    <w:rsid w:val="00BC7243"/>
    <w:rsid w:val="00BD1FFF"/>
    <w:rsid w:val="00BD416E"/>
    <w:rsid w:val="00BD4FE2"/>
    <w:rsid w:val="00BD5A88"/>
    <w:rsid w:val="00BD5FBD"/>
    <w:rsid w:val="00BD79F3"/>
    <w:rsid w:val="00BE0FA6"/>
    <w:rsid w:val="00BE3D74"/>
    <w:rsid w:val="00BE4168"/>
    <w:rsid w:val="00BE4695"/>
    <w:rsid w:val="00BE5568"/>
    <w:rsid w:val="00BE565A"/>
    <w:rsid w:val="00BE5DDD"/>
    <w:rsid w:val="00BE64A4"/>
    <w:rsid w:val="00BE6EF9"/>
    <w:rsid w:val="00BF1057"/>
    <w:rsid w:val="00BF132A"/>
    <w:rsid w:val="00BF6213"/>
    <w:rsid w:val="00BF6B59"/>
    <w:rsid w:val="00C02616"/>
    <w:rsid w:val="00C069EC"/>
    <w:rsid w:val="00C07F60"/>
    <w:rsid w:val="00C130BE"/>
    <w:rsid w:val="00C14AEB"/>
    <w:rsid w:val="00C14B16"/>
    <w:rsid w:val="00C14C6E"/>
    <w:rsid w:val="00C17831"/>
    <w:rsid w:val="00C21CA1"/>
    <w:rsid w:val="00C2412F"/>
    <w:rsid w:val="00C26665"/>
    <w:rsid w:val="00C26933"/>
    <w:rsid w:val="00C2753B"/>
    <w:rsid w:val="00C27EB0"/>
    <w:rsid w:val="00C312DF"/>
    <w:rsid w:val="00C312F2"/>
    <w:rsid w:val="00C31F2B"/>
    <w:rsid w:val="00C3259E"/>
    <w:rsid w:val="00C325DD"/>
    <w:rsid w:val="00C409C8"/>
    <w:rsid w:val="00C4293C"/>
    <w:rsid w:val="00C4406D"/>
    <w:rsid w:val="00C4479E"/>
    <w:rsid w:val="00C462D8"/>
    <w:rsid w:val="00C55173"/>
    <w:rsid w:val="00C57453"/>
    <w:rsid w:val="00C609EB"/>
    <w:rsid w:val="00C60A93"/>
    <w:rsid w:val="00C61789"/>
    <w:rsid w:val="00C61F19"/>
    <w:rsid w:val="00C651FF"/>
    <w:rsid w:val="00C65BC7"/>
    <w:rsid w:val="00C671D3"/>
    <w:rsid w:val="00C709BF"/>
    <w:rsid w:val="00C7225A"/>
    <w:rsid w:val="00C7241D"/>
    <w:rsid w:val="00C72D77"/>
    <w:rsid w:val="00C741C5"/>
    <w:rsid w:val="00C75F49"/>
    <w:rsid w:val="00C775E7"/>
    <w:rsid w:val="00C81FAF"/>
    <w:rsid w:val="00C82BF5"/>
    <w:rsid w:val="00C847F0"/>
    <w:rsid w:val="00C8553B"/>
    <w:rsid w:val="00C87257"/>
    <w:rsid w:val="00C90D83"/>
    <w:rsid w:val="00C90EC8"/>
    <w:rsid w:val="00C913EA"/>
    <w:rsid w:val="00C91692"/>
    <w:rsid w:val="00C91C8F"/>
    <w:rsid w:val="00C92C32"/>
    <w:rsid w:val="00C9380B"/>
    <w:rsid w:val="00C94CA5"/>
    <w:rsid w:val="00C957BB"/>
    <w:rsid w:val="00C97A33"/>
    <w:rsid w:val="00CA1CCC"/>
    <w:rsid w:val="00CA2B12"/>
    <w:rsid w:val="00CA353A"/>
    <w:rsid w:val="00CA410F"/>
    <w:rsid w:val="00CA51C3"/>
    <w:rsid w:val="00CA54AD"/>
    <w:rsid w:val="00CA588C"/>
    <w:rsid w:val="00CA5979"/>
    <w:rsid w:val="00CB204C"/>
    <w:rsid w:val="00CB2AAE"/>
    <w:rsid w:val="00CB3BD8"/>
    <w:rsid w:val="00CC1FD7"/>
    <w:rsid w:val="00CC29F8"/>
    <w:rsid w:val="00CC5E11"/>
    <w:rsid w:val="00CD266B"/>
    <w:rsid w:val="00CD64E6"/>
    <w:rsid w:val="00CD6A2F"/>
    <w:rsid w:val="00CD7124"/>
    <w:rsid w:val="00CD7B4F"/>
    <w:rsid w:val="00CD7E45"/>
    <w:rsid w:val="00CE2D16"/>
    <w:rsid w:val="00CE7B02"/>
    <w:rsid w:val="00CE7E18"/>
    <w:rsid w:val="00CF1FFC"/>
    <w:rsid w:val="00CF47B9"/>
    <w:rsid w:val="00CF7586"/>
    <w:rsid w:val="00D00D6D"/>
    <w:rsid w:val="00D01FB7"/>
    <w:rsid w:val="00D0305E"/>
    <w:rsid w:val="00D03BDA"/>
    <w:rsid w:val="00D03BEB"/>
    <w:rsid w:val="00D040B4"/>
    <w:rsid w:val="00D049C1"/>
    <w:rsid w:val="00D058DE"/>
    <w:rsid w:val="00D0660F"/>
    <w:rsid w:val="00D06AFA"/>
    <w:rsid w:val="00D074FD"/>
    <w:rsid w:val="00D11F11"/>
    <w:rsid w:val="00D13265"/>
    <w:rsid w:val="00D13C3B"/>
    <w:rsid w:val="00D173B0"/>
    <w:rsid w:val="00D17814"/>
    <w:rsid w:val="00D20AF1"/>
    <w:rsid w:val="00D21DF5"/>
    <w:rsid w:val="00D238B8"/>
    <w:rsid w:val="00D242F7"/>
    <w:rsid w:val="00D247BA"/>
    <w:rsid w:val="00D25EFE"/>
    <w:rsid w:val="00D27C00"/>
    <w:rsid w:val="00D30A29"/>
    <w:rsid w:val="00D30B19"/>
    <w:rsid w:val="00D35BAF"/>
    <w:rsid w:val="00D360FD"/>
    <w:rsid w:val="00D371AC"/>
    <w:rsid w:val="00D40C08"/>
    <w:rsid w:val="00D443E3"/>
    <w:rsid w:val="00D4494E"/>
    <w:rsid w:val="00D45365"/>
    <w:rsid w:val="00D47C71"/>
    <w:rsid w:val="00D5078D"/>
    <w:rsid w:val="00D50F5B"/>
    <w:rsid w:val="00D56FB0"/>
    <w:rsid w:val="00D57698"/>
    <w:rsid w:val="00D614FD"/>
    <w:rsid w:val="00D61EC6"/>
    <w:rsid w:val="00D6252A"/>
    <w:rsid w:val="00D62A7E"/>
    <w:rsid w:val="00D63F24"/>
    <w:rsid w:val="00D66A1A"/>
    <w:rsid w:val="00D670C9"/>
    <w:rsid w:val="00D70289"/>
    <w:rsid w:val="00D755D0"/>
    <w:rsid w:val="00D768B6"/>
    <w:rsid w:val="00D772D9"/>
    <w:rsid w:val="00D83648"/>
    <w:rsid w:val="00D849A7"/>
    <w:rsid w:val="00D8615D"/>
    <w:rsid w:val="00D86D7D"/>
    <w:rsid w:val="00D87823"/>
    <w:rsid w:val="00D908C5"/>
    <w:rsid w:val="00D9357B"/>
    <w:rsid w:val="00D93B81"/>
    <w:rsid w:val="00D94585"/>
    <w:rsid w:val="00D94CA7"/>
    <w:rsid w:val="00D9601D"/>
    <w:rsid w:val="00D97831"/>
    <w:rsid w:val="00DA014C"/>
    <w:rsid w:val="00DA06DC"/>
    <w:rsid w:val="00DA0DD6"/>
    <w:rsid w:val="00DA183B"/>
    <w:rsid w:val="00DA298E"/>
    <w:rsid w:val="00DA3646"/>
    <w:rsid w:val="00DA46E4"/>
    <w:rsid w:val="00DA64B9"/>
    <w:rsid w:val="00DA7243"/>
    <w:rsid w:val="00DA7520"/>
    <w:rsid w:val="00DB27A4"/>
    <w:rsid w:val="00DB5AC7"/>
    <w:rsid w:val="00DB6D8C"/>
    <w:rsid w:val="00DB7584"/>
    <w:rsid w:val="00DB79FD"/>
    <w:rsid w:val="00DC0C89"/>
    <w:rsid w:val="00DC175A"/>
    <w:rsid w:val="00DC1D70"/>
    <w:rsid w:val="00DC2888"/>
    <w:rsid w:val="00DC4C1E"/>
    <w:rsid w:val="00DC62A1"/>
    <w:rsid w:val="00DD140F"/>
    <w:rsid w:val="00DD1FA3"/>
    <w:rsid w:val="00DD3B8F"/>
    <w:rsid w:val="00DD5CFB"/>
    <w:rsid w:val="00DD5F86"/>
    <w:rsid w:val="00DD747C"/>
    <w:rsid w:val="00DE0A84"/>
    <w:rsid w:val="00DE1F57"/>
    <w:rsid w:val="00DE24A6"/>
    <w:rsid w:val="00DE371B"/>
    <w:rsid w:val="00DE4774"/>
    <w:rsid w:val="00DF1A4F"/>
    <w:rsid w:val="00DF3022"/>
    <w:rsid w:val="00DF3ECB"/>
    <w:rsid w:val="00DF4513"/>
    <w:rsid w:val="00DF7CE6"/>
    <w:rsid w:val="00E0115D"/>
    <w:rsid w:val="00E027EB"/>
    <w:rsid w:val="00E04071"/>
    <w:rsid w:val="00E05E85"/>
    <w:rsid w:val="00E06C22"/>
    <w:rsid w:val="00E0762C"/>
    <w:rsid w:val="00E13EF8"/>
    <w:rsid w:val="00E14164"/>
    <w:rsid w:val="00E1552B"/>
    <w:rsid w:val="00E16196"/>
    <w:rsid w:val="00E1697D"/>
    <w:rsid w:val="00E17DD2"/>
    <w:rsid w:val="00E203B3"/>
    <w:rsid w:val="00E207F3"/>
    <w:rsid w:val="00E2204D"/>
    <w:rsid w:val="00E23D3B"/>
    <w:rsid w:val="00E24B52"/>
    <w:rsid w:val="00E270FF"/>
    <w:rsid w:val="00E27B9C"/>
    <w:rsid w:val="00E27C1A"/>
    <w:rsid w:val="00E324EF"/>
    <w:rsid w:val="00E32F95"/>
    <w:rsid w:val="00E37B61"/>
    <w:rsid w:val="00E37CB8"/>
    <w:rsid w:val="00E407E9"/>
    <w:rsid w:val="00E451C5"/>
    <w:rsid w:val="00E45E2E"/>
    <w:rsid w:val="00E46DF9"/>
    <w:rsid w:val="00E475BC"/>
    <w:rsid w:val="00E50705"/>
    <w:rsid w:val="00E512C2"/>
    <w:rsid w:val="00E53CA9"/>
    <w:rsid w:val="00E54BA4"/>
    <w:rsid w:val="00E55A46"/>
    <w:rsid w:val="00E55D70"/>
    <w:rsid w:val="00E644AB"/>
    <w:rsid w:val="00E66E97"/>
    <w:rsid w:val="00E67B29"/>
    <w:rsid w:val="00E71E48"/>
    <w:rsid w:val="00E7350B"/>
    <w:rsid w:val="00E7374E"/>
    <w:rsid w:val="00E76378"/>
    <w:rsid w:val="00E80C67"/>
    <w:rsid w:val="00E82562"/>
    <w:rsid w:val="00E86320"/>
    <w:rsid w:val="00E878B7"/>
    <w:rsid w:val="00E90041"/>
    <w:rsid w:val="00E914D5"/>
    <w:rsid w:val="00E91EE8"/>
    <w:rsid w:val="00E9347F"/>
    <w:rsid w:val="00E942DB"/>
    <w:rsid w:val="00E97401"/>
    <w:rsid w:val="00EA1563"/>
    <w:rsid w:val="00EA18F6"/>
    <w:rsid w:val="00EA2010"/>
    <w:rsid w:val="00EA26A2"/>
    <w:rsid w:val="00EA7E43"/>
    <w:rsid w:val="00EB0AE6"/>
    <w:rsid w:val="00EB16FE"/>
    <w:rsid w:val="00EB403D"/>
    <w:rsid w:val="00EB4D1E"/>
    <w:rsid w:val="00EB4E97"/>
    <w:rsid w:val="00EB6E22"/>
    <w:rsid w:val="00EB7C88"/>
    <w:rsid w:val="00EC23E7"/>
    <w:rsid w:val="00EC2987"/>
    <w:rsid w:val="00EC3F07"/>
    <w:rsid w:val="00EC4A80"/>
    <w:rsid w:val="00EC57CC"/>
    <w:rsid w:val="00EC5E9A"/>
    <w:rsid w:val="00EC657C"/>
    <w:rsid w:val="00EC67B9"/>
    <w:rsid w:val="00EC72DF"/>
    <w:rsid w:val="00EC7430"/>
    <w:rsid w:val="00ED25A4"/>
    <w:rsid w:val="00ED402C"/>
    <w:rsid w:val="00ED460E"/>
    <w:rsid w:val="00EE0ACF"/>
    <w:rsid w:val="00EE1484"/>
    <w:rsid w:val="00EE3D43"/>
    <w:rsid w:val="00EE69A1"/>
    <w:rsid w:val="00EF04C2"/>
    <w:rsid w:val="00EF0808"/>
    <w:rsid w:val="00EF12E2"/>
    <w:rsid w:val="00EF16A2"/>
    <w:rsid w:val="00EF1863"/>
    <w:rsid w:val="00EF3056"/>
    <w:rsid w:val="00EF77A3"/>
    <w:rsid w:val="00EF7F55"/>
    <w:rsid w:val="00F001E3"/>
    <w:rsid w:val="00F005C8"/>
    <w:rsid w:val="00F00E30"/>
    <w:rsid w:val="00F022AD"/>
    <w:rsid w:val="00F02778"/>
    <w:rsid w:val="00F03327"/>
    <w:rsid w:val="00F04948"/>
    <w:rsid w:val="00F0635F"/>
    <w:rsid w:val="00F10FA2"/>
    <w:rsid w:val="00F11414"/>
    <w:rsid w:val="00F14A53"/>
    <w:rsid w:val="00F14F9F"/>
    <w:rsid w:val="00F161B7"/>
    <w:rsid w:val="00F21436"/>
    <w:rsid w:val="00F270BC"/>
    <w:rsid w:val="00F27432"/>
    <w:rsid w:val="00F27DD5"/>
    <w:rsid w:val="00F3013A"/>
    <w:rsid w:val="00F31807"/>
    <w:rsid w:val="00F32799"/>
    <w:rsid w:val="00F34E8E"/>
    <w:rsid w:val="00F34F00"/>
    <w:rsid w:val="00F36037"/>
    <w:rsid w:val="00F364DD"/>
    <w:rsid w:val="00F37346"/>
    <w:rsid w:val="00F374EA"/>
    <w:rsid w:val="00F37799"/>
    <w:rsid w:val="00F37EE5"/>
    <w:rsid w:val="00F40C0A"/>
    <w:rsid w:val="00F41CF3"/>
    <w:rsid w:val="00F44361"/>
    <w:rsid w:val="00F4681D"/>
    <w:rsid w:val="00F50A0C"/>
    <w:rsid w:val="00F50B93"/>
    <w:rsid w:val="00F50E98"/>
    <w:rsid w:val="00F54E05"/>
    <w:rsid w:val="00F556ED"/>
    <w:rsid w:val="00F56FCB"/>
    <w:rsid w:val="00F6089B"/>
    <w:rsid w:val="00F60A56"/>
    <w:rsid w:val="00F621C7"/>
    <w:rsid w:val="00F70796"/>
    <w:rsid w:val="00F70925"/>
    <w:rsid w:val="00F719D2"/>
    <w:rsid w:val="00F73F1D"/>
    <w:rsid w:val="00F7595B"/>
    <w:rsid w:val="00F761EA"/>
    <w:rsid w:val="00F80270"/>
    <w:rsid w:val="00F802BD"/>
    <w:rsid w:val="00F830B3"/>
    <w:rsid w:val="00F85B88"/>
    <w:rsid w:val="00F90A14"/>
    <w:rsid w:val="00F914D8"/>
    <w:rsid w:val="00F939F1"/>
    <w:rsid w:val="00F95F84"/>
    <w:rsid w:val="00F9616A"/>
    <w:rsid w:val="00F96D48"/>
    <w:rsid w:val="00FA1F66"/>
    <w:rsid w:val="00FA1FD1"/>
    <w:rsid w:val="00FA2ECB"/>
    <w:rsid w:val="00FA57F9"/>
    <w:rsid w:val="00FB0340"/>
    <w:rsid w:val="00FB2265"/>
    <w:rsid w:val="00FB242E"/>
    <w:rsid w:val="00FB41FB"/>
    <w:rsid w:val="00FC14C5"/>
    <w:rsid w:val="00FC2788"/>
    <w:rsid w:val="00FC2B70"/>
    <w:rsid w:val="00FC3A28"/>
    <w:rsid w:val="00FC455B"/>
    <w:rsid w:val="00FC49C2"/>
    <w:rsid w:val="00FC6918"/>
    <w:rsid w:val="00FD0653"/>
    <w:rsid w:val="00FD0811"/>
    <w:rsid w:val="00FD0B96"/>
    <w:rsid w:val="00FD2D09"/>
    <w:rsid w:val="00FD2D2F"/>
    <w:rsid w:val="00FD3783"/>
    <w:rsid w:val="00FD387E"/>
    <w:rsid w:val="00FD523E"/>
    <w:rsid w:val="00FD5C23"/>
    <w:rsid w:val="00FD5DA1"/>
    <w:rsid w:val="00FD7050"/>
    <w:rsid w:val="00FE0AC5"/>
    <w:rsid w:val="00FE362E"/>
    <w:rsid w:val="00FE3C0D"/>
    <w:rsid w:val="00FE71C3"/>
    <w:rsid w:val="00FF25EA"/>
    <w:rsid w:val="00FF32DA"/>
    <w:rsid w:val="00FF3866"/>
    <w:rsid w:val="00FF43AB"/>
    <w:rsid w:val="00FF4904"/>
    <w:rsid w:val="00FF493D"/>
    <w:rsid w:val="00FF5172"/>
    <w:rsid w:val="00FF59B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078A6763-2994-4C09-87E9-57B2C103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qFormat/>
    <w:rsid w:val="00987DBB"/>
  </w:style>
  <w:style w:type="character" w:customStyle="1" w:styleId="CommentTextChar">
    <w:name w:val="Comment Text Char"/>
    <w:basedOn w:val="DefaultParagraphFont"/>
    <w:link w:val="CommentText"/>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aliases w:val="cap,cap Char,Caption Char,Caption Char1 Char,cap Char Char1,Caption Char Char1 Char,cap Char2"/>
    <w:basedOn w:val="Normal"/>
    <w:next w:val="Normal"/>
    <w:link w:val="CaptionChar1"/>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5324E3"/>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en-US"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24E3"/>
    <w:pPr>
      <w:overflowPunct/>
      <w:autoSpaceDE/>
      <w:autoSpaceDN/>
      <w:adjustRightInd/>
      <w:spacing w:after="180" w:line="259" w:lineRule="auto"/>
      <w:ind w:left="720"/>
      <w:jc w:val="left"/>
      <w:textAlignment w:val="auto"/>
    </w:pPr>
    <w:rPr>
      <w:rFonts w:ascii="Times New Roman" w:eastAsia="Malgun Gothic" w:hAnsi="Times New Roman" w:cstheme="minorBidi"/>
      <w:sz w:val="22"/>
      <w:szCs w:val="22"/>
      <w:lang w:val="en-US" w:eastAsia="ja-JP"/>
    </w:rPr>
  </w:style>
  <w:style w:type="character" w:customStyle="1" w:styleId="LGTdocChar">
    <w:name w:val="LGTdoc_본문 Char"/>
    <w:link w:val="LGTdoc"/>
    <w:qFormat/>
    <w:rsid w:val="005324E3"/>
    <w:rPr>
      <w:rFonts w:ascii="Times New Roman" w:eastAsia="Batang" w:hAnsi="Times New Roman"/>
      <w:kern w:val="2"/>
      <w:szCs w:val="24"/>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324E3"/>
    <w:rPr>
      <w:rFonts w:ascii="Times New Roman" w:eastAsia="Malgun Gothic" w:hAnsi="Times New Roman"/>
      <w:lang w:eastAsia="ja-JP"/>
    </w:rPr>
  </w:style>
  <w:style w:type="paragraph" w:customStyle="1" w:styleId="NO">
    <w:name w:val="NO"/>
    <w:basedOn w:val="Normal"/>
    <w:link w:val="NOChar"/>
    <w:rsid w:val="005F3D07"/>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B1">
    <w:name w:val="B1"/>
    <w:basedOn w:val="Normal"/>
    <w:link w:val="B1Char"/>
    <w:qFormat/>
    <w:rsid w:val="005F3D0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5F3D07"/>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5F3D07"/>
    <w:rPr>
      <w:rFonts w:ascii="Times New Roman" w:eastAsia="Malgun Gothic" w:hAnsi="Times New Roman" w:cs="Times New Roman"/>
      <w:sz w:val="20"/>
      <w:szCs w:val="20"/>
      <w:lang w:val="en-GB" w:eastAsia="en-US"/>
    </w:rPr>
  </w:style>
  <w:style w:type="character" w:customStyle="1" w:styleId="B2Char">
    <w:name w:val="B2 Char"/>
    <w:link w:val="B2"/>
    <w:rsid w:val="005F3D07"/>
    <w:rPr>
      <w:rFonts w:ascii="Times New Roman" w:eastAsia="Malgun Gothic" w:hAnsi="Times New Roman" w:cs="Times New Roman"/>
      <w:sz w:val="20"/>
      <w:szCs w:val="20"/>
      <w:lang w:val="en-GB" w:eastAsia="en-US"/>
    </w:rPr>
  </w:style>
  <w:style w:type="character" w:customStyle="1" w:styleId="NOChar">
    <w:name w:val="NO Char"/>
    <w:link w:val="NO"/>
    <w:rsid w:val="005F3D07"/>
    <w:rPr>
      <w:rFonts w:ascii="Times New Roman" w:eastAsia="Malgun Gothic" w:hAnsi="Times New Roman" w:cs="Times New Roman"/>
      <w:sz w:val="20"/>
      <w:szCs w:val="20"/>
      <w:lang w:val="en-GB" w:eastAsia="en-US"/>
    </w:rPr>
  </w:style>
  <w:style w:type="paragraph" w:styleId="Revision">
    <w:name w:val="Revision"/>
    <w:hidden/>
    <w:uiPriority w:val="99"/>
    <w:semiHidden/>
    <w:rsid w:val="00401D60"/>
    <w:pPr>
      <w:spacing w:after="0" w:line="240" w:lineRule="auto"/>
    </w:pPr>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06F7C"/>
    <w:rPr>
      <w:rFonts w:ascii="Arial" w:eastAsia="Times New Roman" w:hAnsi="Arial"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5AB46EF-DE18-4456-B812-54654256D9E3}"/>
</file>

<file path=customXml/itemProps2.xml><?xml version="1.0" encoding="utf-8"?>
<ds:datastoreItem xmlns:ds="http://schemas.openxmlformats.org/officeDocument/2006/customXml" ds:itemID="{A536FA81-259D-40C4-8876-4BE945B961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9E0715BA-E86B-43F5-B1FD-2A67252F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7</Pages>
  <Words>2489</Words>
  <Characters>14191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733</cp:revision>
  <dcterms:created xsi:type="dcterms:W3CDTF">2019-07-14T22:54:00Z</dcterms:created>
  <dcterms:modified xsi:type="dcterms:W3CDTF">2019-11-07T11:51:00Z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